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6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3240"/>
        <w:gridCol w:w="3420"/>
      </w:tblGrid>
      <w:tr w:rsidR="00731E02" w:rsidRPr="00E3256A" w14:paraId="1F6E85E3" w14:textId="77777777" w:rsidTr="0076668E">
        <w:trPr>
          <w:trHeight w:val="675"/>
        </w:trPr>
        <w:tc>
          <w:tcPr>
            <w:tcW w:w="3240" w:type="dxa"/>
            <w:tcBorders>
              <w:top w:val="single" w:sz="6" w:space="0" w:color="auto"/>
              <w:left w:val="single" w:sz="6" w:space="0" w:color="auto"/>
              <w:bottom w:val="single" w:sz="6" w:space="0" w:color="auto"/>
              <w:right w:val="single" w:sz="4" w:space="0" w:color="auto"/>
            </w:tcBorders>
            <w:vAlign w:val="center"/>
          </w:tcPr>
          <w:p w14:paraId="2773D1EF" w14:textId="2BE0F965" w:rsidR="00731E02" w:rsidRPr="00E3256A" w:rsidRDefault="00E3256A" w:rsidP="0076668E">
            <w:pPr>
              <w:spacing w:line="360" w:lineRule="auto"/>
              <w:jc w:val="center"/>
              <w:rPr>
                <w:rFonts w:cs="Arial"/>
                <w:b/>
                <w:lang w:val="en-GB"/>
              </w:rPr>
            </w:pPr>
            <w:r w:rsidRPr="00E3256A">
              <w:rPr>
                <w:rFonts w:cs="Arial"/>
                <w:b/>
                <w:lang w:val="en-GB"/>
              </w:rPr>
              <w:t>Annex</w:t>
            </w:r>
            <w:r w:rsidR="00731E02" w:rsidRPr="00E3256A">
              <w:rPr>
                <w:rFonts w:cs="Arial"/>
                <w:b/>
                <w:lang w:val="en-GB"/>
              </w:rPr>
              <w:t xml:space="preserve"> </w:t>
            </w:r>
            <w:r w:rsidR="00453C92" w:rsidRPr="00E3256A">
              <w:rPr>
                <w:rFonts w:cs="Arial"/>
                <w:b/>
                <w:lang w:val="en-GB"/>
              </w:rPr>
              <w:t>4</w:t>
            </w:r>
            <w:r w:rsidR="00731E02" w:rsidRPr="00E3256A">
              <w:rPr>
                <w:rFonts w:cs="Arial"/>
                <w:b/>
                <w:lang w:val="en-GB"/>
              </w:rPr>
              <w:t xml:space="preserve"> </w:t>
            </w:r>
            <w:r w:rsidRPr="00E3256A">
              <w:rPr>
                <w:rFonts w:cs="Arial"/>
                <w:b/>
                <w:lang w:val="en-GB"/>
              </w:rPr>
              <w:t>to the contract</w:t>
            </w:r>
          </w:p>
          <w:p w14:paraId="21497B91" w14:textId="43DDAA7D" w:rsidR="00731E02" w:rsidRPr="00E3256A" w:rsidRDefault="00E3256A" w:rsidP="00B9135A">
            <w:pPr>
              <w:spacing w:line="360" w:lineRule="auto"/>
              <w:jc w:val="center"/>
              <w:rPr>
                <w:rFonts w:cs="Arial"/>
                <w:lang w:val="en-GB"/>
              </w:rPr>
            </w:pPr>
            <w:r w:rsidRPr="00E3256A">
              <w:rPr>
                <w:rFonts w:cs="Arial"/>
                <w:b/>
                <w:lang w:val="en-GB"/>
              </w:rPr>
              <w:t>according</w:t>
            </w:r>
            <w:r w:rsidR="00B9135A" w:rsidRPr="00E3256A">
              <w:rPr>
                <w:rFonts w:cs="Arial"/>
                <w:b/>
                <w:lang w:val="en-GB"/>
              </w:rPr>
              <w:t xml:space="preserve"> DE</w:t>
            </w:r>
            <w:r w:rsidR="00731E02" w:rsidRPr="00E3256A">
              <w:rPr>
                <w:rFonts w:cs="Arial"/>
                <w:b/>
                <w:lang w:val="en-GB"/>
              </w:rPr>
              <w:t xml:space="preserve">-UZ </w:t>
            </w:r>
            <w:r w:rsidR="00453C92" w:rsidRPr="00E3256A">
              <w:rPr>
                <w:rFonts w:cs="Arial"/>
                <w:b/>
                <w:lang w:val="en-GB"/>
              </w:rPr>
              <w:t>38</w:t>
            </w:r>
          </w:p>
        </w:tc>
        <w:tc>
          <w:tcPr>
            <w:tcW w:w="3420" w:type="dxa"/>
            <w:tcBorders>
              <w:top w:val="single" w:sz="4" w:space="0" w:color="auto"/>
              <w:left w:val="single" w:sz="4" w:space="0" w:color="auto"/>
              <w:bottom w:val="single" w:sz="4" w:space="0" w:color="auto"/>
              <w:right w:val="single" w:sz="4" w:space="0" w:color="auto"/>
            </w:tcBorders>
            <w:vAlign w:val="center"/>
          </w:tcPr>
          <w:p w14:paraId="3E46065A" w14:textId="2DD10C52" w:rsidR="00731E02" w:rsidRPr="00E3256A" w:rsidRDefault="00E3256A" w:rsidP="0076668E">
            <w:pPr>
              <w:tabs>
                <w:tab w:val="left" w:pos="5670"/>
              </w:tabs>
              <w:spacing w:after="120" w:line="360" w:lineRule="auto"/>
              <w:ind w:left="74" w:right="74"/>
              <w:jc w:val="center"/>
              <w:rPr>
                <w:rFonts w:cs="Arial"/>
                <w:lang w:val="en-GB"/>
              </w:rPr>
            </w:pPr>
            <w:r w:rsidRPr="00E3256A">
              <w:rPr>
                <w:rFonts w:cs="Arial"/>
                <w:b/>
                <w:lang w:val="en-GB"/>
              </w:rPr>
              <w:t>Please use only this form</w:t>
            </w:r>
            <w:r w:rsidR="00731E02" w:rsidRPr="00E3256A">
              <w:rPr>
                <w:rFonts w:cs="Arial"/>
                <w:b/>
                <w:lang w:val="en-GB"/>
              </w:rPr>
              <w:t>!</w:t>
            </w:r>
          </w:p>
        </w:tc>
      </w:tr>
    </w:tbl>
    <w:p w14:paraId="6E130B1C" w14:textId="77777777" w:rsidR="00731E02" w:rsidRPr="00E3256A" w:rsidRDefault="00731E02" w:rsidP="00731E02">
      <w:pPr>
        <w:tabs>
          <w:tab w:val="left" w:pos="5670"/>
        </w:tabs>
        <w:rPr>
          <w:rFonts w:cs="Arial"/>
          <w:lang w:val="en-GB"/>
        </w:rPr>
      </w:pPr>
    </w:p>
    <w:p w14:paraId="6B9E3378" w14:textId="71FD559B" w:rsidR="00731E02" w:rsidRPr="00E3256A" w:rsidRDefault="00E3256A" w:rsidP="00731E02">
      <w:pPr>
        <w:tabs>
          <w:tab w:val="left" w:pos="5670"/>
        </w:tabs>
        <w:rPr>
          <w:rFonts w:cs="Arial"/>
          <w:b/>
          <w:lang w:val="en-GB"/>
        </w:rPr>
      </w:pPr>
      <w:r w:rsidRPr="00E3256A">
        <w:rPr>
          <w:rFonts w:cs="Arial"/>
          <w:b/>
          <w:lang w:val="en-GB"/>
        </w:rPr>
        <w:t>Environmental label for</w:t>
      </w:r>
      <w:r w:rsidR="00731E02" w:rsidRPr="00E3256A">
        <w:rPr>
          <w:rFonts w:cs="Arial"/>
          <w:b/>
          <w:lang w:val="en-GB"/>
        </w:rPr>
        <w:t xml:space="preserve"> "</w:t>
      </w:r>
      <w:r w:rsidRPr="00E3256A">
        <w:rPr>
          <w:rFonts w:cs="Arial"/>
          <w:b/>
          <w:lang w:val="en-GB"/>
        </w:rPr>
        <w:t>Low-emission furniture and slatted fram</w:t>
      </w:r>
      <w:r>
        <w:rPr>
          <w:rFonts w:cs="Arial"/>
          <w:b/>
          <w:lang w:val="en-GB"/>
        </w:rPr>
        <w:t>es made of wood and wood-based materials</w:t>
      </w:r>
      <w:r w:rsidR="00731E02" w:rsidRPr="00E3256A">
        <w:rPr>
          <w:rFonts w:cs="Arial"/>
          <w:b/>
          <w:lang w:val="en-GB"/>
        </w:rPr>
        <w:t>"</w:t>
      </w:r>
    </w:p>
    <w:p w14:paraId="399E7370" w14:textId="77777777" w:rsidR="0065423D" w:rsidRPr="00E3256A" w:rsidRDefault="0065423D" w:rsidP="00731E02">
      <w:pPr>
        <w:tabs>
          <w:tab w:val="left" w:pos="5670"/>
        </w:tabs>
        <w:rPr>
          <w:rFonts w:cs="Arial"/>
          <w:b/>
          <w:lang w:val="en-GB"/>
        </w:rPr>
      </w:pPr>
    </w:p>
    <w:p w14:paraId="2F297E01" w14:textId="77777777" w:rsidR="000A24BD" w:rsidRPr="00E3256A" w:rsidRDefault="000A24BD" w:rsidP="00B25A65">
      <w:pPr>
        <w:rPr>
          <w:rFonts w:cs="Arial"/>
          <w:lang w:val="en-GB"/>
        </w:rPr>
      </w:pPr>
    </w:p>
    <w:tbl>
      <w:tblPr>
        <w:tblW w:w="8903" w:type="dxa"/>
        <w:tblInd w:w="28" w:type="dxa"/>
        <w:tblCellMar>
          <w:top w:w="28" w:type="dxa"/>
          <w:left w:w="28" w:type="dxa"/>
          <w:bottom w:w="28" w:type="dxa"/>
          <w:right w:w="28" w:type="dxa"/>
        </w:tblCellMar>
        <w:tblLook w:val="01E0" w:firstRow="1" w:lastRow="1" w:firstColumn="1" w:lastColumn="1" w:noHBand="0" w:noVBand="0"/>
      </w:tblPr>
      <w:tblGrid>
        <w:gridCol w:w="4225"/>
        <w:gridCol w:w="4678"/>
      </w:tblGrid>
      <w:tr w:rsidR="00731E02" w:rsidRPr="00BE7E69" w14:paraId="0F6EA3D6" w14:textId="77777777" w:rsidTr="0065423D">
        <w:trPr>
          <w:trHeight w:hRule="exact" w:val="1077"/>
        </w:trPr>
        <w:tc>
          <w:tcPr>
            <w:tcW w:w="4225" w:type="dxa"/>
            <w:tcBorders>
              <w:right w:val="single" w:sz="4" w:space="0" w:color="auto"/>
            </w:tcBorders>
            <w:shd w:val="clear" w:color="auto" w:fill="auto"/>
          </w:tcPr>
          <w:p w14:paraId="65D3A622" w14:textId="40E7484A" w:rsidR="00731E02" w:rsidRPr="00BE7E69" w:rsidRDefault="00E3256A" w:rsidP="0076668E">
            <w:pPr>
              <w:spacing w:before="20" w:after="20"/>
              <w:rPr>
                <w:rFonts w:cs="Arial"/>
                <w:b/>
              </w:rPr>
            </w:pPr>
            <w:proofErr w:type="spellStart"/>
            <w:r>
              <w:rPr>
                <w:rFonts w:cs="Arial"/>
                <w:b/>
              </w:rPr>
              <w:t>Manufacturer</w:t>
            </w:r>
            <w:proofErr w:type="spellEnd"/>
            <w:r>
              <w:rPr>
                <w:rFonts w:cs="Arial"/>
                <w:b/>
              </w:rPr>
              <w:t>/ supplier</w:t>
            </w:r>
            <w:r w:rsidR="00731E02" w:rsidRPr="00BE7E69">
              <w:rPr>
                <w:rFonts w:cs="Arial"/>
                <w:b/>
              </w:rPr>
              <w:t>:</w:t>
            </w:r>
          </w:p>
          <w:p w14:paraId="039941EB" w14:textId="6CEFB44F" w:rsidR="00731E02" w:rsidRPr="00BE7E69" w:rsidRDefault="00731E02" w:rsidP="0076668E">
            <w:pPr>
              <w:spacing w:before="20" w:after="20"/>
              <w:rPr>
                <w:rFonts w:cs="Arial"/>
              </w:rPr>
            </w:pPr>
            <w:r w:rsidRPr="00BE7E69">
              <w:rPr>
                <w:rFonts w:cs="Arial"/>
              </w:rPr>
              <w:t>(</w:t>
            </w:r>
            <w:proofErr w:type="spellStart"/>
            <w:r w:rsidR="00E3256A">
              <w:rPr>
                <w:rFonts w:cs="Arial"/>
              </w:rPr>
              <w:t>full</w:t>
            </w:r>
            <w:proofErr w:type="spellEnd"/>
            <w:r w:rsidR="00E3256A">
              <w:rPr>
                <w:rFonts w:cs="Arial"/>
              </w:rPr>
              <w:t xml:space="preserve"> </w:t>
            </w:r>
            <w:proofErr w:type="spellStart"/>
            <w:r w:rsidR="00E3256A">
              <w:rPr>
                <w:rFonts w:cs="Arial"/>
              </w:rPr>
              <w:t>address</w:t>
            </w:r>
            <w:proofErr w:type="spellEnd"/>
            <w:r w:rsidRPr="00BE7E69">
              <w:rPr>
                <w:rFonts w:cs="Arial"/>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D7305C6" w14:textId="77777777" w:rsidR="00731E02" w:rsidRDefault="00731E02" w:rsidP="0076668E">
            <w:pPr>
              <w:spacing w:before="20" w:after="20"/>
              <w:rPr>
                <w:rFonts w:cs="Arial"/>
              </w:rPr>
            </w:pPr>
            <w:r w:rsidRPr="00BE7E69">
              <w:rPr>
                <w:rFonts w:cs="Arial"/>
              </w:rPr>
              <w:fldChar w:fldCharType="begin">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r w:rsidRPr="00BE7E69">
              <w:rPr>
                <w:rFonts w:cs="Arial"/>
              </w:rPr>
              <w:t> </w:t>
            </w:r>
            <w:r w:rsidRPr="00BE7E69">
              <w:rPr>
                <w:rFonts w:cs="Arial"/>
              </w:rPr>
              <w:t> </w:t>
            </w:r>
            <w:r w:rsidRPr="00BE7E69">
              <w:rPr>
                <w:rFonts w:cs="Arial"/>
              </w:rPr>
              <w:t> </w:t>
            </w:r>
            <w:r w:rsidRPr="00BE7E69">
              <w:rPr>
                <w:rFonts w:cs="Arial"/>
              </w:rPr>
              <w:t> </w:t>
            </w:r>
            <w:r w:rsidRPr="00BE7E69">
              <w:rPr>
                <w:rFonts w:cs="Arial"/>
              </w:rPr>
              <w:t> </w:t>
            </w:r>
            <w:r w:rsidRPr="00BE7E69">
              <w:rPr>
                <w:rFonts w:cs="Arial"/>
              </w:rPr>
              <w:fldChar w:fldCharType="end"/>
            </w:r>
          </w:p>
          <w:p w14:paraId="521ED767" w14:textId="77777777" w:rsidR="00621904" w:rsidRDefault="00621904" w:rsidP="0076668E">
            <w:pPr>
              <w:spacing w:before="20" w:after="20"/>
              <w:rPr>
                <w:rFonts w:cs="Arial"/>
              </w:rPr>
            </w:pPr>
            <w:r w:rsidRPr="00BE7E69">
              <w:rPr>
                <w:rFonts w:cs="Arial"/>
              </w:rPr>
              <w:fldChar w:fldCharType="begin">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r w:rsidRPr="00BE7E69">
              <w:rPr>
                <w:rFonts w:cs="Arial"/>
              </w:rPr>
              <w:t> </w:t>
            </w:r>
            <w:r w:rsidRPr="00BE7E69">
              <w:rPr>
                <w:rFonts w:cs="Arial"/>
              </w:rPr>
              <w:t> </w:t>
            </w:r>
            <w:r w:rsidRPr="00BE7E69">
              <w:rPr>
                <w:rFonts w:cs="Arial"/>
              </w:rPr>
              <w:t> </w:t>
            </w:r>
            <w:r w:rsidRPr="00BE7E69">
              <w:rPr>
                <w:rFonts w:cs="Arial"/>
              </w:rPr>
              <w:t> </w:t>
            </w:r>
            <w:r w:rsidRPr="00BE7E69">
              <w:rPr>
                <w:rFonts w:cs="Arial"/>
              </w:rPr>
              <w:t> </w:t>
            </w:r>
            <w:r w:rsidRPr="00BE7E69">
              <w:rPr>
                <w:rFonts w:cs="Arial"/>
              </w:rPr>
              <w:fldChar w:fldCharType="end"/>
            </w:r>
          </w:p>
          <w:p w14:paraId="0BF1A194" w14:textId="77777777" w:rsidR="00621904" w:rsidRDefault="00621904" w:rsidP="0076668E">
            <w:pPr>
              <w:spacing w:before="20" w:after="20"/>
              <w:rPr>
                <w:rFonts w:cs="Arial"/>
              </w:rPr>
            </w:pPr>
            <w:r w:rsidRPr="00BE7E69">
              <w:rPr>
                <w:rFonts w:cs="Arial"/>
              </w:rPr>
              <w:fldChar w:fldCharType="begin">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r w:rsidRPr="00BE7E69">
              <w:rPr>
                <w:rFonts w:cs="Arial"/>
              </w:rPr>
              <w:t> </w:t>
            </w:r>
            <w:r w:rsidRPr="00BE7E69">
              <w:rPr>
                <w:rFonts w:cs="Arial"/>
              </w:rPr>
              <w:t> </w:t>
            </w:r>
            <w:r w:rsidRPr="00BE7E69">
              <w:rPr>
                <w:rFonts w:cs="Arial"/>
              </w:rPr>
              <w:t> </w:t>
            </w:r>
            <w:r w:rsidRPr="00BE7E69">
              <w:rPr>
                <w:rFonts w:cs="Arial"/>
              </w:rPr>
              <w:t> </w:t>
            </w:r>
            <w:r w:rsidRPr="00BE7E69">
              <w:rPr>
                <w:rFonts w:cs="Arial"/>
              </w:rPr>
              <w:t> </w:t>
            </w:r>
            <w:r w:rsidRPr="00BE7E69">
              <w:rPr>
                <w:rFonts w:cs="Arial"/>
              </w:rPr>
              <w:fldChar w:fldCharType="end"/>
            </w:r>
          </w:p>
          <w:p w14:paraId="29828680" w14:textId="4FD05938" w:rsidR="00621904" w:rsidRPr="00BE7E69" w:rsidRDefault="00621904" w:rsidP="0076668E">
            <w:pPr>
              <w:spacing w:before="20" w:after="20"/>
              <w:rPr>
                <w:rFonts w:cs="Arial"/>
              </w:rPr>
            </w:pPr>
            <w:r w:rsidRPr="00BE7E69">
              <w:rPr>
                <w:rFonts w:cs="Arial"/>
              </w:rPr>
              <w:fldChar w:fldCharType="begin">
                <w:ffData>
                  <w:name w:val="Text1"/>
                  <w:enabled/>
                  <w:calcOnExit w:val="0"/>
                  <w:textInput/>
                </w:ffData>
              </w:fldChar>
            </w:r>
            <w:r w:rsidRPr="00BE7E69">
              <w:rPr>
                <w:rFonts w:cs="Arial"/>
              </w:rPr>
              <w:instrText xml:space="preserve"> FORMTEXT </w:instrText>
            </w:r>
            <w:r w:rsidRPr="00BE7E69">
              <w:rPr>
                <w:rFonts w:cs="Arial"/>
              </w:rPr>
            </w:r>
            <w:r w:rsidRPr="00BE7E69">
              <w:rPr>
                <w:rFonts w:cs="Arial"/>
              </w:rPr>
              <w:fldChar w:fldCharType="separate"/>
            </w:r>
            <w:r w:rsidRPr="00BE7E69">
              <w:rPr>
                <w:rFonts w:cs="Arial"/>
              </w:rPr>
              <w:t> </w:t>
            </w:r>
            <w:r w:rsidRPr="00BE7E69">
              <w:rPr>
                <w:rFonts w:cs="Arial"/>
              </w:rPr>
              <w:t> </w:t>
            </w:r>
            <w:r w:rsidRPr="00BE7E69">
              <w:rPr>
                <w:rFonts w:cs="Arial"/>
              </w:rPr>
              <w:t> </w:t>
            </w:r>
            <w:r w:rsidRPr="00BE7E69">
              <w:rPr>
                <w:rFonts w:cs="Arial"/>
              </w:rPr>
              <w:t> </w:t>
            </w:r>
            <w:r w:rsidRPr="00BE7E69">
              <w:rPr>
                <w:rFonts w:cs="Arial"/>
              </w:rPr>
              <w:t> </w:t>
            </w:r>
            <w:r w:rsidRPr="00BE7E69">
              <w:rPr>
                <w:rFonts w:cs="Arial"/>
              </w:rPr>
              <w:fldChar w:fldCharType="end"/>
            </w:r>
          </w:p>
        </w:tc>
      </w:tr>
      <w:tr w:rsidR="0065423D" w:rsidRPr="00BE7E69" w14:paraId="5492F97A" w14:textId="77777777" w:rsidTr="00BB6457">
        <w:trPr>
          <w:trHeight w:hRule="exact" w:val="672"/>
        </w:trPr>
        <w:tc>
          <w:tcPr>
            <w:tcW w:w="4225" w:type="dxa"/>
            <w:shd w:val="clear" w:color="auto" w:fill="auto"/>
          </w:tcPr>
          <w:p w14:paraId="7DEE1612" w14:textId="77777777" w:rsidR="0065423D" w:rsidRPr="00BE7E69" w:rsidRDefault="0065423D" w:rsidP="0076668E">
            <w:pPr>
              <w:spacing w:before="20" w:after="20"/>
              <w:rPr>
                <w:rFonts w:cs="Arial"/>
                <w:b/>
              </w:rPr>
            </w:pPr>
          </w:p>
        </w:tc>
        <w:tc>
          <w:tcPr>
            <w:tcW w:w="4678" w:type="dxa"/>
            <w:tcBorders>
              <w:top w:val="single" w:sz="4" w:space="0" w:color="auto"/>
              <w:bottom w:val="single" w:sz="4" w:space="0" w:color="auto"/>
            </w:tcBorders>
            <w:shd w:val="clear" w:color="auto" w:fill="auto"/>
          </w:tcPr>
          <w:p w14:paraId="31D1B17E" w14:textId="77777777" w:rsidR="0065423D" w:rsidRPr="00BE7E69" w:rsidRDefault="0065423D" w:rsidP="0076668E">
            <w:pPr>
              <w:spacing w:before="20" w:after="20"/>
              <w:rPr>
                <w:rFonts w:cs="Arial"/>
              </w:rPr>
            </w:pPr>
          </w:p>
        </w:tc>
      </w:tr>
      <w:tr w:rsidR="00731E02" w:rsidRPr="00BE7E69" w14:paraId="4CA7DFF5" w14:textId="77777777" w:rsidTr="0065423D">
        <w:tc>
          <w:tcPr>
            <w:tcW w:w="4225" w:type="dxa"/>
            <w:tcBorders>
              <w:right w:val="single" w:sz="4" w:space="0" w:color="auto"/>
            </w:tcBorders>
            <w:shd w:val="clear" w:color="auto" w:fill="auto"/>
          </w:tcPr>
          <w:p w14:paraId="37EE76A4" w14:textId="1F1A447C" w:rsidR="00731E02" w:rsidRPr="00E3256A" w:rsidRDefault="00E3256A" w:rsidP="0076668E">
            <w:pPr>
              <w:spacing w:before="20" w:after="20"/>
              <w:rPr>
                <w:rFonts w:cs="Arial"/>
                <w:b/>
                <w:lang w:val="en-GB"/>
              </w:rPr>
            </w:pPr>
            <w:r w:rsidRPr="00E3256A">
              <w:rPr>
                <w:rFonts w:cs="Arial"/>
                <w:b/>
                <w:lang w:val="en-GB"/>
              </w:rPr>
              <w:t>Trade name of the product</w:t>
            </w:r>
            <w:r w:rsidR="00731E02" w:rsidRPr="00E3256A">
              <w:rPr>
                <w:rFonts w:cs="Arial"/>
                <w:b/>
                <w:lang w:val="en-GB"/>
              </w:rPr>
              <w:t>:</w:t>
            </w:r>
          </w:p>
          <w:p w14:paraId="0B44F208" w14:textId="77777777" w:rsidR="00E3256A" w:rsidRDefault="00E3256A" w:rsidP="0076668E">
            <w:pPr>
              <w:spacing w:before="20" w:after="20"/>
              <w:rPr>
                <w:rFonts w:cs="Arial"/>
                <w:lang w:val="en-GB"/>
              </w:rPr>
            </w:pPr>
            <w:r w:rsidRPr="00E3256A">
              <w:rPr>
                <w:rFonts w:cs="Arial"/>
                <w:lang w:val="en-GB"/>
              </w:rPr>
              <w:t>The naming of several products</w:t>
            </w:r>
          </w:p>
          <w:p w14:paraId="4C7E7263" w14:textId="77777777" w:rsidR="00E3256A" w:rsidRDefault="00E3256A" w:rsidP="0076668E">
            <w:pPr>
              <w:spacing w:before="20" w:after="20"/>
              <w:rPr>
                <w:rFonts w:cs="Arial"/>
                <w:lang w:val="en-GB"/>
              </w:rPr>
            </w:pPr>
            <w:r w:rsidRPr="00E3256A">
              <w:rPr>
                <w:rFonts w:cs="Arial"/>
                <w:lang w:val="en-GB"/>
              </w:rPr>
              <w:t>or a listing in a separate appendix</w:t>
            </w:r>
          </w:p>
          <w:p w14:paraId="1C9A4AC4" w14:textId="29F718FB" w:rsidR="00453C92" w:rsidRPr="00E3256A" w:rsidRDefault="00E3256A" w:rsidP="0076668E">
            <w:pPr>
              <w:spacing w:before="20" w:after="20"/>
              <w:rPr>
                <w:rFonts w:cs="Arial"/>
                <w:b/>
                <w:lang w:val="en-GB"/>
              </w:rPr>
            </w:pPr>
            <w:r w:rsidRPr="00E3256A">
              <w:rPr>
                <w:rFonts w:cs="Arial"/>
                <w:lang w:val="en-GB"/>
              </w:rPr>
              <w:t>is possible.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1052152E" w14:textId="77777777" w:rsidR="00453C92" w:rsidRDefault="00731E02" w:rsidP="0076668E">
            <w:pPr>
              <w:spacing w:before="20" w:after="20"/>
              <w:rPr>
                <w:rFonts w:cs="Arial"/>
                <w:b/>
              </w:rPr>
            </w:pPr>
            <w:r w:rsidRPr="00BE7E69">
              <w:rPr>
                <w:rFonts w:cs="Arial"/>
                <w:b/>
              </w:rPr>
              <w:fldChar w:fldCharType="begin">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rPr>
              <w:fldChar w:fldCharType="end"/>
            </w:r>
          </w:p>
          <w:p w14:paraId="2CBF7F79" w14:textId="77777777" w:rsidR="00453C92" w:rsidRDefault="00453C92" w:rsidP="0076668E">
            <w:pPr>
              <w:spacing w:before="20" w:after="20"/>
              <w:rPr>
                <w:rFonts w:cs="Arial"/>
                <w:b/>
              </w:rPr>
            </w:pPr>
            <w:r w:rsidRPr="00BE7E69">
              <w:rPr>
                <w:rFonts w:cs="Arial"/>
                <w:b/>
              </w:rPr>
              <w:fldChar w:fldCharType="begin">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rPr>
              <w:fldChar w:fldCharType="end"/>
            </w:r>
          </w:p>
          <w:p w14:paraId="00CCE76A" w14:textId="77777777" w:rsidR="00453C92" w:rsidRDefault="00453C92" w:rsidP="0076668E">
            <w:pPr>
              <w:spacing w:before="20" w:after="20"/>
              <w:rPr>
                <w:rFonts w:cs="Arial"/>
                <w:b/>
              </w:rPr>
            </w:pPr>
            <w:r w:rsidRPr="00BE7E69">
              <w:rPr>
                <w:rFonts w:cs="Arial"/>
                <w:b/>
              </w:rPr>
              <w:fldChar w:fldCharType="begin">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rPr>
              <w:fldChar w:fldCharType="end"/>
            </w:r>
          </w:p>
          <w:p w14:paraId="6632F9D9" w14:textId="4FD67991" w:rsidR="00453C92" w:rsidRPr="00BE7E69" w:rsidRDefault="00453C92" w:rsidP="0076668E">
            <w:pPr>
              <w:spacing w:before="20" w:after="20"/>
              <w:rPr>
                <w:rFonts w:cs="Arial"/>
                <w:b/>
              </w:rPr>
            </w:pPr>
            <w:r w:rsidRPr="00BE7E69">
              <w:rPr>
                <w:rFonts w:cs="Arial"/>
                <w:b/>
              </w:rPr>
              <w:fldChar w:fldCharType="begin">
                <w:ffData>
                  <w:name w:val="Text9"/>
                  <w:enabled/>
                  <w:calcOnExit w:val="0"/>
                  <w:textInput/>
                </w:ffData>
              </w:fldChar>
            </w:r>
            <w:r w:rsidRPr="00BE7E69">
              <w:rPr>
                <w:rFonts w:cs="Arial"/>
                <w:b/>
              </w:rPr>
              <w:instrText xml:space="preserve"> FORMTEXT </w:instrText>
            </w:r>
            <w:r w:rsidRPr="00BE7E69">
              <w:rPr>
                <w:rFonts w:cs="Arial"/>
                <w:b/>
              </w:rPr>
            </w:r>
            <w:r w:rsidRPr="00BE7E69">
              <w:rPr>
                <w:rFonts w:cs="Arial"/>
                <w:b/>
              </w:rPr>
              <w:fldChar w:fldCharType="separate"/>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noProof/>
              </w:rPr>
              <w:t> </w:t>
            </w:r>
            <w:r w:rsidRPr="00BE7E69">
              <w:rPr>
                <w:rFonts w:cs="Arial"/>
                <w:b/>
              </w:rPr>
              <w:fldChar w:fldCharType="end"/>
            </w:r>
          </w:p>
        </w:tc>
      </w:tr>
    </w:tbl>
    <w:p w14:paraId="5F47A9F2" w14:textId="69994CB5" w:rsidR="009C53BC" w:rsidRPr="00BE7E69" w:rsidRDefault="009C53BC" w:rsidP="00B25A65">
      <w:pPr>
        <w:rPr>
          <w:rFonts w:cs="Arial"/>
          <w:b/>
        </w:rPr>
      </w:pPr>
    </w:p>
    <w:p w14:paraId="5B4F90FD" w14:textId="77777777" w:rsidR="00B51C79" w:rsidRPr="00BE7E69" w:rsidRDefault="00B51C79" w:rsidP="00B25A65">
      <w:pPr>
        <w:rPr>
          <w:rFonts w:cs="Arial"/>
          <w:b/>
        </w:rPr>
      </w:pPr>
    </w:p>
    <w:p w14:paraId="167A1F37" w14:textId="5E5FCE6B" w:rsidR="00731E02" w:rsidRPr="00E3256A" w:rsidRDefault="00E3256A" w:rsidP="00B25A65">
      <w:pPr>
        <w:rPr>
          <w:rFonts w:cs="Arial"/>
          <w:b/>
          <w:lang w:val="en-GB"/>
        </w:rPr>
      </w:pPr>
      <w:r w:rsidRPr="00E3256A">
        <w:rPr>
          <w:rFonts w:cs="Arial"/>
          <w:b/>
          <w:lang w:val="en-GB"/>
        </w:rPr>
        <w:t>Declaration by the co</w:t>
      </w:r>
      <w:r>
        <w:rPr>
          <w:rFonts w:cs="Arial"/>
          <w:b/>
          <w:lang w:val="en-GB"/>
        </w:rPr>
        <w:t>ating manufacturer</w:t>
      </w:r>
      <w:r w:rsidR="005A14D0" w:rsidRPr="00E3256A">
        <w:rPr>
          <w:rFonts w:cs="Arial"/>
          <w:b/>
          <w:lang w:val="en-GB"/>
        </w:rPr>
        <w:t xml:space="preserve"> </w:t>
      </w:r>
      <w:r w:rsidR="005A14D0" w:rsidRPr="00BE7E69">
        <w:rPr>
          <w:rFonts w:cs="Arial"/>
          <w:b/>
        </w:rPr>
        <w:fldChar w:fldCharType="begin">
          <w:ffData>
            <w:name w:val="Kontrollkästchen92"/>
            <w:enabled/>
            <w:calcOnExit w:val="0"/>
            <w:checkBox>
              <w:sizeAuto/>
              <w:default w:val="0"/>
            </w:checkBox>
          </w:ffData>
        </w:fldChar>
      </w:r>
      <w:bookmarkStart w:id="0" w:name="Kontrollkästchen92"/>
      <w:r w:rsidR="005A14D0" w:rsidRPr="00E3256A">
        <w:rPr>
          <w:rFonts w:cs="Arial"/>
          <w:b/>
          <w:lang w:val="en-GB"/>
        </w:rPr>
        <w:instrText xml:space="preserve"> FORMCHECKBOX </w:instrText>
      </w:r>
      <w:r w:rsidR="00573324">
        <w:rPr>
          <w:rFonts w:cs="Arial"/>
          <w:b/>
        </w:rPr>
      </w:r>
      <w:r w:rsidR="00573324">
        <w:rPr>
          <w:rFonts w:cs="Arial"/>
          <w:b/>
        </w:rPr>
        <w:fldChar w:fldCharType="separate"/>
      </w:r>
      <w:r w:rsidR="005A14D0" w:rsidRPr="00BE7E69">
        <w:rPr>
          <w:rFonts w:cs="Arial"/>
          <w:b/>
        </w:rPr>
        <w:fldChar w:fldCharType="end"/>
      </w:r>
      <w:bookmarkEnd w:id="0"/>
      <w:r w:rsidR="005A14D0" w:rsidRPr="00E3256A">
        <w:rPr>
          <w:rFonts w:cs="Arial"/>
          <w:b/>
          <w:lang w:val="en-GB"/>
        </w:rPr>
        <w:t xml:space="preserve"> </w:t>
      </w:r>
      <w:r w:rsidR="00731E02" w:rsidRPr="00E3256A">
        <w:rPr>
          <w:rFonts w:cs="Arial"/>
          <w:b/>
          <w:lang w:val="en-GB"/>
        </w:rPr>
        <w:t>/-</w:t>
      </w:r>
      <w:r>
        <w:rPr>
          <w:rFonts w:cs="Arial"/>
          <w:b/>
          <w:lang w:val="en-GB"/>
        </w:rPr>
        <w:t>supplier</w:t>
      </w:r>
      <w:r w:rsidR="005A14D0" w:rsidRPr="00E3256A">
        <w:rPr>
          <w:rFonts w:cs="Arial"/>
          <w:b/>
          <w:lang w:val="en-GB"/>
        </w:rPr>
        <w:t xml:space="preserve"> </w:t>
      </w:r>
      <w:r w:rsidR="005A14D0" w:rsidRPr="00BE7E69">
        <w:rPr>
          <w:rFonts w:cs="Arial"/>
          <w:b/>
        </w:rPr>
        <w:fldChar w:fldCharType="begin">
          <w:ffData>
            <w:name w:val="Kontrollkästchen93"/>
            <w:enabled/>
            <w:calcOnExit w:val="0"/>
            <w:checkBox>
              <w:sizeAuto/>
              <w:default w:val="0"/>
            </w:checkBox>
          </w:ffData>
        </w:fldChar>
      </w:r>
      <w:bookmarkStart w:id="1" w:name="Kontrollkästchen93"/>
      <w:r w:rsidR="005A14D0" w:rsidRPr="00E3256A">
        <w:rPr>
          <w:rFonts w:cs="Arial"/>
          <w:b/>
          <w:lang w:val="en-GB"/>
        </w:rPr>
        <w:instrText xml:space="preserve"> FORMCHECKBOX </w:instrText>
      </w:r>
      <w:r w:rsidR="00573324">
        <w:rPr>
          <w:rFonts w:cs="Arial"/>
          <w:b/>
        </w:rPr>
      </w:r>
      <w:r w:rsidR="00573324">
        <w:rPr>
          <w:rFonts w:cs="Arial"/>
          <w:b/>
        </w:rPr>
        <w:fldChar w:fldCharType="separate"/>
      </w:r>
      <w:r w:rsidR="005A14D0" w:rsidRPr="00BE7E69">
        <w:rPr>
          <w:rFonts w:cs="Arial"/>
          <w:b/>
        </w:rPr>
        <w:fldChar w:fldCharType="end"/>
      </w:r>
      <w:bookmarkEnd w:id="1"/>
    </w:p>
    <w:p w14:paraId="660C4AA2" w14:textId="77777777" w:rsidR="0023216E" w:rsidRPr="00E3256A" w:rsidRDefault="0023216E" w:rsidP="00C161F3">
      <w:pPr>
        <w:rPr>
          <w:rFonts w:cs="Arial"/>
          <w:b/>
          <w:sz w:val="18"/>
          <w:szCs w:val="18"/>
          <w:lang w:val="en-GB"/>
        </w:rPr>
      </w:pPr>
    </w:p>
    <w:p w14:paraId="56343692" w14:textId="77777777" w:rsidR="00C161F3" w:rsidRPr="00E3256A" w:rsidRDefault="00C161F3" w:rsidP="00C161F3">
      <w:pPr>
        <w:rPr>
          <w:rFonts w:cs="Arial"/>
          <w:lang w:val="en-GB"/>
        </w:rPr>
      </w:pPr>
    </w:p>
    <w:p w14:paraId="2C1E6757" w14:textId="3972B22A" w:rsidR="00F32CD8" w:rsidRPr="00182DCA" w:rsidRDefault="00E3256A" w:rsidP="00C161F3">
      <w:pPr>
        <w:rPr>
          <w:rFonts w:cs="Arial"/>
          <w:b/>
          <w:u w:val="single"/>
          <w:lang w:val="en-GB"/>
        </w:rPr>
      </w:pPr>
      <w:r w:rsidRPr="00182DCA">
        <w:rPr>
          <w:rFonts w:cs="Arial"/>
          <w:b/>
          <w:u w:val="single"/>
          <w:lang w:val="en-GB"/>
        </w:rPr>
        <w:t>General substance requirements</w:t>
      </w:r>
      <w:r w:rsidR="00453C92" w:rsidRPr="00182DCA">
        <w:rPr>
          <w:rFonts w:cs="Arial"/>
          <w:b/>
          <w:u w:val="single"/>
          <w:lang w:val="en-GB"/>
        </w:rPr>
        <w:t xml:space="preserve"> (</w:t>
      </w:r>
      <w:r w:rsidR="00182DCA" w:rsidRPr="00182DCA">
        <w:rPr>
          <w:rFonts w:cs="Arial"/>
          <w:b/>
          <w:u w:val="single"/>
          <w:lang w:val="en-GB"/>
        </w:rPr>
        <w:t>accor</w:t>
      </w:r>
      <w:r w:rsidR="00182DCA">
        <w:rPr>
          <w:rFonts w:cs="Arial"/>
          <w:b/>
          <w:u w:val="single"/>
          <w:lang w:val="en-GB"/>
        </w:rPr>
        <w:t>ding to</w:t>
      </w:r>
      <w:r w:rsidR="00453C92" w:rsidRPr="00182DCA">
        <w:rPr>
          <w:rFonts w:cs="Arial"/>
          <w:b/>
          <w:u w:val="single"/>
          <w:lang w:val="en-GB"/>
        </w:rPr>
        <w:t xml:space="preserve"> 3.1.3 </w:t>
      </w:r>
      <w:r w:rsidR="00182DCA">
        <w:rPr>
          <w:rFonts w:cs="Arial"/>
          <w:b/>
          <w:u w:val="single"/>
          <w:lang w:val="en-GB"/>
        </w:rPr>
        <w:t>of the basic award criteria</w:t>
      </w:r>
      <w:r w:rsidR="00453C92" w:rsidRPr="00182DCA">
        <w:rPr>
          <w:rFonts w:cs="Arial"/>
          <w:b/>
          <w:u w:val="single"/>
          <w:lang w:val="en-GB"/>
        </w:rPr>
        <w:t>)</w:t>
      </w:r>
    </w:p>
    <w:p w14:paraId="256F4874" w14:textId="4D408D87" w:rsidR="00C161F3" w:rsidRPr="00182DCA" w:rsidRDefault="00182DCA" w:rsidP="0065423D">
      <w:pPr>
        <w:jc w:val="both"/>
        <w:rPr>
          <w:lang w:val="en-GB"/>
        </w:rPr>
      </w:pPr>
      <w:r w:rsidRPr="00182DCA">
        <w:rPr>
          <w:lang w:val="en-GB"/>
        </w:rPr>
        <w:t>Observance of European and German chemical law, as well as standard rules for the sector, is a prerequisite; in the case of furniture and slatted frames, this includes, in particular, the REACH Regulation (especially Annexes XIV and XVII)</w:t>
      </w:r>
      <w:r w:rsidR="00573324">
        <w:rPr>
          <w:rStyle w:val="Funotenzeichen"/>
          <w:lang w:val="en-GB"/>
        </w:rPr>
        <w:footnoteReference w:id="1"/>
      </w:r>
      <w:r w:rsidRPr="00182DCA">
        <w:rPr>
          <w:lang w:val="en-GB"/>
        </w:rPr>
        <w:t>, the POP Regulation</w:t>
      </w:r>
      <w:r w:rsidR="00573324">
        <w:rPr>
          <w:rStyle w:val="Funotenzeichen"/>
          <w:lang w:val="en-GB"/>
        </w:rPr>
        <w:footnoteReference w:id="2"/>
      </w:r>
      <w:r w:rsidRPr="00182DCA">
        <w:rPr>
          <w:sz w:val="13"/>
          <w:szCs w:val="13"/>
          <w:lang w:val="en-GB"/>
        </w:rPr>
        <w:t xml:space="preserve"> </w:t>
      </w:r>
      <w:r w:rsidRPr="00182DCA">
        <w:rPr>
          <w:lang w:val="en-GB"/>
        </w:rPr>
        <w:t>and the Biocidal Products Regulation</w:t>
      </w:r>
      <w:r w:rsidR="00573324">
        <w:rPr>
          <w:rStyle w:val="Funotenzeichen"/>
          <w:lang w:val="en-GB"/>
        </w:rPr>
        <w:footnoteReference w:id="3"/>
      </w:r>
      <w:r w:rsidR="00573324">
        <w:rPr>
          <w:rStyle w:val="Funotenzeichen"/>
          <w:lang w:val="en-GB"/>
        </w:rPr>
        <w:footnoteReference w:id="4"/>
      </w:r>
      <w:r w:rsidRPr="00182DCA">
        <w:rPr>
          <w:lang w:val="en-GB"/>
        </w:rPr>
        <w:t>.</w:t>
      </w:r>
    </w:p>
    <w:p w14:paraId="405AD6BA" w14:textId="77777777" w:rsidR="00453C92" w:rsidRPr="00182DCA" w:rsidRDefault="00453C92" w:rsidP="00C161F3">
      <w:pPr>
        <w:rPr>
          <w:rFonts w:cs="Arial"/>
          <w:b/>
          <w:color w:val="auto"/>
          <w:lang w:val="en-GB"/>
        </w:rPr>
      </w:pPr>
    </w:p>
    <w:p w14:paraId="393B476F" w14:textId="657E06D8" w:rsidR="00F32CD8" w:rsidRPr="00C161F3" w:rsidRDefault="00F32CD8" w:rsidP="00C161F3">
      <w:pPr>
        <w:rPr>
          <w:rFonts w:cs="Arial"/>
          <w:b/>
          <w:color w:val="auto"/>
        </w:rPr>
      </w:pPr>
      <w:r w:rsidRPr="00C161F3">
        <w:rPr>
          <w:rFonts w:cs="Arial"/>
          <w:b/>
          <w:color w:val="auto"/>
        </w:rPr>
        <w:fldChar w:fldCharType="begin">
          <w:ffData>
            <w:name w:val="Kontrollkästchen89"/>
            <w:enabled/>
            <w:calcOnExit w:val="0"/>
            <w:checkBox>
              <w:sizeAuto/>
              <w:default w:val="0"/>
            </w:checkBox>
          </w:ffData>
        </w:fldChar>
      </w:r>
      <w:r w:rsidRPr="00C161F3">
        <w:rPr>
          <w:rFonts w:cs="Arial"/>
          <w:b/>
          <w:color w:val="auto"/>
        </w:rPr>
        <w:instrText xml:space="preserve"> FORMCHECKBOX </w:instrText>
      </w:r>
      <w:r w:rsidR="00573324">
        <w:rPr>
          <w:rFonts w:cs="Arial"/>
          <w:b/>
          <w:color w:val="auto"/>
        </w:rPr>
      </w:r>
      <w:r w:rsidR="00573324">
        <w:rPr>
          <w:rFonts w:cs="Arial"/>
          <w:b/>
          <w:color w:val="auto"/>
        </w:rPr>
        <w:fldChar w:fldCharType="separate"/>
      </w:r>
      <w:r w:rsidRPr="00C161F3">
        <w:rPr>
          <w:rFonts w:cs="Arial"/>
          <w:b/>
          <w:color w:val="auto"/>
        </w:rPr>
        <w:fldChar w:fldCharType="end"/>
      </w:r>
      <w:r w:rsidRPr="00C161F3">
        <w:rPr>
          <w:rFonts w:cs="Arial"/>
          <w:b/>
          <w:color w:val="auto"/>
        </w:rPr>
        <w:t xml:space="preserve"> </w:t>
      </w:r>
      <w:proofErr w:type="spellStart"/>
      <w:r w:rsidR="00182DCA" w:rsidRPr="00182DCA">
        <w:rPr>
          <w:rFonts w:cs="Arial"/>
          <w:b/>
          <w:color w:val="auto"/>
        </w:rPr>
        <w:t>We</w:t>
      </w:r>
      <w:proofErr w:type="spellEnd"/>
      <w:r w:rsidR="00182DCA" w:rsidRPr="00182DCA">
        <w:rPr>
          <w:rFonts w:cs="Arial"/>
          <w:b/>
          <w:color w:val="auto"/>
        </w:rPr>
        <w:t xml:space="preserve"> </w:t>
      </w:r>
      <w:proofErr w:type="spellStart"/>
      <w:r w:rsidR="00182DCA" w:rsidRPr="00182DCA">
        <w:rPr>
          <w:rFonts w:cs="Arial"/>
          <w:b/>
          <w:color w:val="auto"/>
        </w:rPr>
        <w:t>hereby</w:t>
      </w:r>
      <w:proofErr w:type="spellEnd"/>
      <w:r w:rsidR="00182DCA" w:rsidRPr="00182DCA">
        <w:rPr>
          <w:rFonts w:cs="Arial"/>
          <w:b/>
          <w:color w:val="auto"/>
        </w:rPr>
        <w:t xml:space="preserve"> </w:t>
      </w:r>
      <w:proofErr w:type="spellStart"/>
      <w:r w:rsidR="00182DCA" w:rsidRPr="00182DCA">
        <w:rPr>
          <w:rFonts w:cs="Arial"/>
          <w:b/>
          <w:color w:val="auto"/>
        </w:rPr>
        <w:t>confirm</w:t>
      </w:r>
      <w:proofErr w:type="spellEnd"/>
      <w:r w:rsidR="00182DCA" w:rsidRPr="00182DCA">
        <w:rPr>
          <w:rFonts w:cs="Arial"/>
          <w:b/>
          <w:color w:val="auto"/>
        </w:rPr>
        <w:t>,</w:t>
      </w:r>
    </w:p>
    <w:p w14:paraId="32303721" w14:textId="77777777" w:rsidR="00C161F3" w:rsidRPr="00C161F3" w:rsidRDefault="00C161F3" w:rsidP="00C161F3">
      <w:pPr>
        <w:pStyle w:val="Listenabsatz"/>
        <w:ind w:left="284"/>
        <w:contextualSpacing w:val="0"/>
        <w:rPr>
          <w:rFonts w:cs="Arial"/>
        </w:rPr>
      </w:pPr>
    </w:p>
    <w:p w14:paraId="7EBFC39A" w14:textId="48A53509" w:rsidR="005529DE" w:rsidRPr="00182DCA" w:rsidRDefault="00182DCA" w:rsidP="00C161F3">
      <w:pPr>
        <w:pStyle w:val="Listenabsatz"/>
        <w:numPr>
          <w:ilvl w:val="0"/>
          <w:numId w:val="19"/>
        </w:numPr>
        <w:ind w:left="284" w:hanging="284"/>
        <w:contextualSpacing w:val="0"/>
        <w:rPr>
          <w:rFonts w:cs="Arial"/>
          <w:lang w:val="en-GB"/>
        </w:rPr>
      </w:pPr>
      <w:r w:rsidRPr="00182DCA">
        <w:rPr>
          <w:rFonts w:cs="Arial"/>
          <w:lang w:val="en-GB"/>
        </w:rPr>
        <w:t xml:space="preserve">that no substances are added to the product listed above as </w:t>
      </w:r>
      <w:r w:rsidRPr="00182DCA">
        <w:rPr>
          <w:lang w:val="en-GB"/>
        </w:rPr>
        <w:t>constituent components (i.e. substances that remain in the final product where they perform a certain function)</w:t>
      </w:r>
      <w:r w:rsidR="00573324">
        <w:rPr>
          <w:rStyle w:val="Funotenzeichen"/>
          <w:lang w:val="en-GB"/>
        </w:rPr>
        <w:footnoteReference w:id="5"/>
      </w:r>
      <w:r w:rsidRPr="00182DCA">
        <w:rPr>
          <w:rFonts w:cs="Arial"/>
          <w:lang w:val="en-GB"/>
        </w:rPr>
        <w:t>,</w:t>
      </w:r>
    </w:p>
    <w:p w14:paraId="53C9DA7D" w14:textId="77777777" w:rsidR="00646399" w:rsidRPr="00182DCA" w:rsidRDefault="00646399" w:rsidP="00646399">
      <w:pPr>
        <w:pStyle w:val="Listenabsatz"/>
        <w:ind w:left="284"/>
        <w:contextualSpacing w:val="0"/>
        <w:rPr>
          <w:rFonts w:cs="Arial"/>
          <w:lang w:val="en-GB"/>
        </w:rPr>
      </w:pPr>
    </w:p>
    <w:p w14:paraId="54CADBCB" w14:textId="4CF65B65" w:rsidR="00453C92" w:rsidRPr="00182DCA" w:rsidRDefault="00182DCA" w:rsidP="00182DCA">
      <w:pPr>
        <w:pStyle w:val="Listenabsatz"/>
        <w:numPr>
          <w:ilvl w:val="0"/>
          <w:numId w:val="35"/>
        </w:numPr>
        <w:rPr>
          <w:lang w:val="en-GB"/>
        </w:rPr>
      </w:pPr>
      <w:r w:rsidRPr="00182DCA">
        <w:rPr>
          <w:lang w:val="en-GB"/>
        </w:rPr>
        <w:t>which are identified as particularly alarming under the European Chemicals Reg-</w:t>
      </w:r>
      <w:proofErr w:type="spellStart"/>
      <w:r w:rsidRPr="00182DCA">
        <w:rPr>
          <w:lang w:val="en-GB"/>
        </w:rPr>
        <w:t>ulation</w:t>
      </w:r>
      <w:proofErr w:type="spellEnd"/>
      <w:r w:rsidRPr="00182DCA">
        <w:rPr>
          <w:lang w:val="en-GB"/>
        </w:rPr>
        <w:t xml:space="preserve"> REACH and which have been incorporated into the list drawn up in accordance with Article 59, Paragraph 1 of the REACH Regulation (so-called “list of candidates”</w:t>
      </w:r>
      <w:r w:rsidR="00573324">
        <w:rPr>
          <w:rStyle w:val="Funotenzeichen"/>
          <w:lang w:val="en-GB"/>
        </w:rPr>
        <w:footnoteReference w:id="6"/>
      </w:r>
      <w:r w:rsidRPr="00182DCA">
        <w:rPr>
          <w:lang w:val="en-GB"/>
        </w:rPr>
        <w:t>).</w:t>
      </w:r>
    </w:p>
    <w:p w14:paraId="44064DA8" w14:textId="77777777" w:rsidR="00182DCA" w:rsidRPr="00182DCA" w:rsidRDefault="00182DCA" w:rsidP="00453C92">
      <w:pPr>
        <w:pStyle w:val="Listenabsatz"/>
        <w:ind w:left="567"/>
        <w:contextualSpacing w:val="0"/>
        <w:rPr>
          <w:rFonts w:cs="Arial"/>
          <w:lang w:val="en-GB"/>
        </w:rPr>
      </w:pPr>
    </w:p>
    <w:p w14:paraId="08639568" w14:textId="0EE1FA4E" w:rsidR="00453C92" w:rsidRPr="00182DCA" w:rsidRDefault="00182DCA" w:rsidP="00182DCA">
      <w:pPr>
        <w:pStyle w:val="Listenabsatz"/>
        <w:numPr>
          <w:ilvl w:val="0"/>
          <w:numId w:val="36"/>
        </w:numPr>
        <w:rPr>
          <w:rFonts w:cs="Arial"/>
          <w:lang w:val="en-GB"/>
        </w:rPr>
      </w:pPr>
      <w:r w:rsidRPr="00182DCA">
        <w:rPr>
          <w:lang w:val="en-GB"/>
        </w:rPr>
        <w:lastRenderedPageBreak/>
        <w:t>which according to the criteria of the CLP Regulation</w:t>
      </w:r>
      <w:r w:rsidR="00573324">
        <w:rPr>
          <w:rStyle w:val="Funotenzeichen"/>
          <w:lang w:val="en-GB"/>
        </w:rPr>
        <w:footnoteReference w:id="7"/>
      </w:r>
      <w:r w:rsidRPr="00182DCA">
        <w:rPr>
          <w:sz w:val="13"/>
          <w:szCs w:val="13"/>
          <w:lang w:val="en-GB"/>
        </w:rPr>
        <w:t xml:space="preserve"> </w:t>
      </w:r>
      <w:r w:rsidRPr="00182DCA">
        <w:rPr>
          <w:lang w:val="en-GB"/>
        </w:rPr>
        <w:t>are assigned the following hazard classes and categories or which meet the criteria for such classification</w:t>
      </w:r>
      <w:r w:rsidR="00573324">
        <w:rPr>
          <w:rStyle w:val="Funotenzeichen"/>
          <w:lang w:val="en-GB"/>
        </w:rPr>
        <w:footnoteReference w:id="8"/>
      </w:r>
      <w:r w:rsidR="00573324">
        <w:rPr>
          <w:rStyle w:val="Funotenzeichen"/>
          <w:lang w:val="en-GB"/>
        </w:rPr>
        <w:footnoteReference w:id="9"/>
      </w:r>
      <w:r w:rsidRPr="00182DCA">
        <w:rPr>
          <w:lang w:val="en-GB"/>
        </w:rPr>
        <w:t>:</w:t>
      </w:r>
    </w:p>
    <w:p w14:paraId="5DE58533" w14:textId="77777777" w:rsidR="00182DCA" w:rsidRPr="00182DCA" w:rsidRDefault="00182DCA" w:rsidP="00182DCA">
      <w:pPr>
        <w:pStyle w:val="Listenabsatz"/>
        <w:rPr>
          <w:rFonts w:cs="Arial"/>
          <w:lang w:val="en-GB"/>
        </w:rPr>
      </w:pPr>
    </w:p>
    <w:p w14:paraId="7E9AA187" w14:textId="77777777" w:rsidR="00182DCA" w:rsidRPr="00182DCA" w:rsidRDefault="00182DCA" w:rsidP="00182DCA">
      <w:pPr>
        <w:pStyle w:val="Listenabsatz"/>
        <w:numPr>
          <w:ilvl w:val="0"/>
          <w:numId w:val="38"/>
        </w:numPr>
        <w:autoSpaceDE w:val="0"/>
        <w:autoSpaceDN w:val="0"/>
        <w:adjustRightInd w:val="0"/>
        <w:spacing w:after="66"/>
        <w:rPr>
          <w:rFonts w:cs="Verdana"/>
          <w:lang w:val="en-GB"/>
        </w:rPr>
      </w:pPr>
      <w:r w:rsidRPr="00182DCA">
        <w:rPr>
          <w:rFonts w:cs="Verdana"/>
          <w:lang w:val="en-GB"/>
        </w:rPr>
        <w:t xml:space="preserve">carcinogenic in categories </w:t>
      </w:r>
      <w:proofErr w:type="spellStart"/>
      <w:r w:rsidRPr="00182DCA">
        <w:rPr>
          <w:rFonts w:cs="Verdana"/>
          <w:lang w:val="en-GB"/>
        </w:rPr>
        <w:t>Carc</w:t>
      </w:r>
      <w:proofErr w:type="spellEnd"/>
      <w:r w:rsidRPr="00182DCA">
        <w:rPr>
          <w:rFonts w:cs="Verdana"/>
          <w:lang w:val="en-GB"/>
        </w:rPr>
        <w:t xml:space="preserve">. 1A or </w:t>
      </w:r>
      <w:proofErr w:type="spellStart"/>
      <w:r w:rsidRPr="00182DCA">
        <w:rPr>
          <w:rFonts w:cs="Verdana"/>
          <w:lang w:val="en-GB"/>
        </w:rPr>
        <w:t>Carc</w:t>
      </w:r>
      <w:proofErr w:type="spellEnd"/>
      <w:r w:rsidRPr="00182DCA">
        <w:rPr>
          <w:rFonts w:cs="Verdana"/>
          <w:lang w:val="en-GB"/>
        </w:rPr>
        <w:t xml:space="preserve">. 1B </w:t>
      </w:r>
    </w:p>
    <w:p w14:paraId="0D33A3A5" w14:textId="0583EC10" w:rsidR="00182DCA" w:rsidRPr="00182DCA" w:rsidRDefault="00182DCA" w:rsidP="00182DCA">
      <w:pPr>
        <w:pStyle w:val="Listenabsatz"/>
        <w:numPr>
          <w:ilvl w:val="0"/>
          <w:numId w:val="38"/>
        </w:numPr>
        <w:autoSpaceDE w:val="0"/>
        <w:autoSpaceDN w:val="0"/>
        <w:adjustRightInd w:val="0"/>
        <w:spacing w:after="66"/>
        <w:rPr>
          <w:rFonts w:cs="Verdana"/>
          <w:lang w:val="en-GB"/>
        </w:rPr>
      </w:pPr>
      <w:r w:rsidRPr="00182DCA">
        <w:rPr>
          <w:rFonts w:cs="Verdana"/>
          <w:lang w:val="en-GB"/>
        </w:rPr>
        <w:t xml:space="preserve">germ cell mutagenic in categories </w:t>
      </w:r>
      <w:proofErr w:type="spellStart"/>
      <w:r w:rsidRPr="00182DCA">
        <w:rPr>
          <w:rFonts w:cs="Verdana"/>
          <w:lang w:val="en-GB"/>
        </w:rPr>
        <w:t>Muta</w:t>
      </w:r>
      <w:proofErr w:type="spellEnd"/>
      <w:r w:rsidRPr="00182DCA">
        <w:rPr>
          <w:rFonts w:cs="Verdana"/>
          <w:lang w:val="en-GB"/>
        </w:rPr>
        <w:t xml:space="preserve">. 1A or </w:t>
      </w:r>
      <w:proofErr w:type="spellStart"/>
      <w:r w:rsidRPr="00182DCA">
        <w:rPr>
          <w:rFonts w:cs="Verdana"/>
          <w:lang w:val="en-GB"/>
        </w:rPr>
        <w:t>Muta</w:t>
      </w:r>
      <w:proofErr w:type="spellEnd"/>
      <w:r w:rsidRPr="00182DCA">
        <w:rPr>
          <w:rFonts w:cs="Verdana"/>
          <w:lang w:val="en-GB"/>
        </w:rPr>
        <w:t xml:space="preserve">. 1B </w:t>
      </w:r>
    </w:p>
    <w:p w14:paraId="11199E20" w14:textId="79B2F9B8" w:rsidR="00182DCA" w:rsidRPr="00182DCA" w:rsidRDefault="00182DCA" w:rsidP="00182DCA">
      <w:pPr>
        <w:pStyle w:val="Listenabsatz"/>
        <w:numPr>
          <w:ilvl w:val="0"/>
          <w:numId w:val="38"/>
        </w:numPr>
        <w:autoSpaceDE w:val="0"/>
        <w:autoSpaceDN w:val="0"/>
        <w:adjustRightInd w:val="0"/>
        <w:spacing w:after="66"/>
        <w:rPr>
          <w:rFonts w:cs="Verdana"/>
          <w:lang w:val="en-GB"/>
        </w:rPr>
      </w:pPr>
      <w:r w:rsidRPr="00182DCA">
        <w:rPr>
          <w:rFonts w:cs="Verdana"/>
          <w:lang w:val="en-GB"/>
        </w:rPr>
        <w:t xml:space="preserve">reprotoxic (teratogenic) in categories </w:t>
      </w:r>
      <w:proofErr w:type="spellStart"/>
      <w:r w:rsidRPr="00182DCA">
        <w:rPr>
          <w:rFonts w:cs="Verdana"/>
          <w:lang w:val="en-GB"/>
        </w:rPr>
        <w:t>Repr</w:t>
      </w:r>
      <w:proofErr w:type="spellEnd"/>
      <w:r w:rsidRPr="00182DCA">
        <w:rPr>
          <w:rFonts w:cs="Verdana"/>
          <w:lang w:val="en-GB"/>
        </w:rPr>
        <w:t xml:space="preserve">. 1A or </w:t>
      </w:r>
      <w:proofErr w:type="spellStart"/>
      <w:r w:rsidRPr="00182DCA">
        <w:rPr>
          <w:rFonts w:cs="Verdana"/>
          <w:lang w:val="en-GB"/>
        </w:rPr>
        <w:t>Repr</w:t>
      </w:r>
      <w:proofErr w:type="spellEnd"/>
      <w:r w:rsidRPr="00182DCA">
        <w:rPr>
          <w:rFonts w:cs="Verdana"/>
          <w:lang w:val="en-GB"/>
        </w:rPr>
        <w:t xml:space="preserve">. 1B </w:t>
      </w:r>
    </w:p>
    <w:p w14:paraId="3B668362" w14:textId="77777777" w:rsidR="00182DCA" w:rsidRPr="00182DCA" w:rsidRDefault="00182DCA" w:rsidP="00182DCA">
      <w:pPr>
        <w:pStyle w:val="Listenabsatz"/>
        <w:numPr>
          <w:ilvl w:val="0"/>
          <w:numId w:val="38"/>
        </w:numPr>
        <w:autoSpaceDE w:val="0"/>
        <w:autoSpaceDN w:val="0"/>
        <w:adjustRightInd w:val="0"/>
        <w:spacing w:after="66"/>
        <w:rPr>
          <w:rFonts w:cs="Verdana"/>
          <w:lang w:val="en-GB"/>
        </w:rPr>
      </w:pPr>
      <w:r w:rsidRPr="00182DCA">
        <w:rPr>
          <w:rFonts w:cs="Verdana"/>
          <w:lang w:val="en-GB"/>
        </w:rPr>
        <w:t xml:space="preserve">acute toxicity (poisonous) in categories Acute Tox. 1 or Acute Tox. 2 </w:t>
      </w:r>
    </w:p>
    <w:p w14:paraId="4513E512" w14:textId="42F7E705" w:rsidR="00182DCA" w:rsidRPr="00182DCA" w:rsidRDefault="00182DCA" w:rsidP="00182DCA">
      <w:pPr>
        <w:pStyle w:val="Listenabsatz"/>
        <w:numPr>
          <w:ilvl w:val="0"/>
          <w:numId w:val="38"/>
        </w:numPr>
        <w:autoSpaceDE w:val="0"/>
        <w:autoSpaceDN w:val="0"/>
        <w:adjustRightInd w:val="0"/>
        <w:spacing w:after="66"/>
        <w:rPr>
          <w:rFonts w:cs="Verdana"/>
          <w:lang w:val="en-GB"/>
        </w:rPr>
      </w:pPr>
      <w:r w:rsidRPr="00182DCA">
        <w:rPr>
          <w:rFonts w:cs="Verdana"/>
          <w:lang w:val="en-GB"/>
        </w:rPr>
        <w:t xml:space="preserve">specific target organ toxicity in categories STOT SE 1, STOT SE 2, STOT RE 1 or STOT RE 2 </w:t>
      </w:r>
    </w:p>
    <w:p w14:paraId="5301002B" w14:textId="77777777" w:rsidR="00453C92" w:rsidRPr="00182DCA" w:rsidRDefault="00453C92" w:rsidP="005D3BDB">
      <w:pPr>
        <w:pStyle w:val="Listenabsatz"/>
        <w:ind w:left="1440"/>
        <w:rPr>
          <w:rFonts w:cs="Arial"/>
          <w:lang w:val="en-GB"/>
        </w:rPr>
      </w:pPr>
    </w:p>
    <w:p w14:paraId="662F24E4" w14:textId="0A296A4C" w:rsidR="001E47E9" w:rsidRPr="00182DCA" w:rsidRDefault="00182DCA" w:rsidP="00453C92">
      <w:pPr>
        <w:pStyle w:val="Listenabsatz"/>
        <w:ind w:left="567" w:right="-2"/>
        <w:contextualSpacing w:val="0"/>
        <w:rPr>
          <w:rFonts w:cs="Arial"/>
          <w:lang w:val="en-GB"/>
        </w:rPr>
      </w:pPr>
      <w:r w:rsidRPr="00182DCA">
        <w:rPr>
          <w:lang w:val="en-GB"/>
        </w:rPr>
        <w:t xml:space="preserve">The corresponding H phrases for the hazard classes and categories </w:t>
      </w:r>
      <w:r>
        <w:rPr>
          <w:lang w:val="en-GB"/>
        </w:rPr>
        <w:t xml:space="preserve">are: </w:t>
      </w:r>
      <w:r w:rsidR="00453C92" w:rsidRPr="00182DCA">
        <w:rPr>
          <w:rFonts w:cs="Arial"/>
          <w:lang w:val="en-GB"/>
        </w:rPr>
        <w:t>H</w:t>
      </w:r>
      <w:r w:rsidR="001E47E9" w:rsidRPr="00182DCA">
        <w:rPr>
          <w:rFonts w:cs="Arial"/>
          <w:lang w:val="en-GB"/>
        </w:rPr>
        <w:t xml:space="preserve">300, H310, </w:t>
      </w:r>
      <w:r w:rsidR="003E1B17" w:rsidRPr="00182DCA">
        <w:rPr>
          <w:rFonts w:cs="Arial"/>
          <w:lang w:val="en-GB"/>
        </w:rPr>
        <w:t>H</w:t>
      </w:r>
      <w:r w:rsidR="001E47E9" w:rsidRPr="00182DCA">
        <w:rPr>
          <w:rFonts w:cs="Arial"/>
          <w:lang w:val="en-GB"/>
        </w:rPr>
        <w:t xml:space="preserve">330, H340, H350, H350i, H360F, H360D, H360FD, </w:t>
      </w:r>
      <w:r w:rsidR="00521C63" w:rsidRPr="00182DCA">
        <w:rPr>
          <w:rFonts w:cs="Arial"/>
          <w:lang w:val="en-GB"/>
        </w:rPr>
        <w:t>H</w:t>
      </w:r>
      <w:r w:rsidR="001E47E9" w:rsidRPr="00182DCA">
        <w:rPr>
          <w:rFonts w:cs="Arial"/>
          <w:lang w:val="en-GB"/>
        </w:rPr>
        <w:t xml:space="preserve">360Fd, H360Df, H370, </w:t>
      </w:r>
      <w:r w:rsidR="00453C92" w:rsidRPr="00182DCA">
        <w:rPr>
          <w:rFonts w:cs="Arial"/>
          <w:lang w:val="en-GB"/>
        </w:rPr>
        <w:t xml:space="preserve">H371, </w:t>
      </w:r>
      <w:r w:rsidR="001E47E9" w:rsidRPr="00182DCA">
        <w:rPr>
          <w:rFonts w:cs="Arial"/>
          <w:lang w:val="en-GB"/>
        </w:rPr>
        <w:t>H372,</w:t>
      </w:r>
      <w:r w:rsidR="00453C92" w:rsidRPr="00182DCA">
        <w:rPr>
          <w:rFonts w:cs="Arial"/>
          <w:lang w:val="en-GB"/>
        </w:rPr>
        <w:t xml:space="preserve"> H373.</w:t>
      </w:r>
    </w:p>
    <w:p w14:paraId="39A72ACD" w14:textId="07B460A2" w:rsidR="00C161F3" w:rsidRPr="00182DCA" w:rsidRDefault="00C161F3" w:rsidP="00C161F3">
      <w:pPr>
        <w:pStyle w:val="Listenabsatz"/>
        <w:ind w:left="284"/>
        <w:contextualSpacing w:val="0"/>
        <w:rPr>
          <w:rFonts w:cs="Arial"/>
          <w:lang w:val="en-GB"/>
        </w:rPr>
      </w:pPr>
    </w:p>
    <w:p w14:paraId="77788213" w14:textId="77777777" w:rsidR="00182DCA" w:rsidRPr="00182DCA" w:rsidRDefault="00182DCA" w:rsidP="00182DCA">
      <w:pPr>
        <w:autoSpaceDE w:val="0"/>
        <w:autoSpaceDN w:val="0"/>
        <w:adjustRightInd w:val="0"/>
        <w:rPr>
          <w:rFonts w:cs="Verdana"/>
          <w:lang w:val="en-GB"/>
        </w:rPr>
      </w:pPr>
      <w:r w:rsidRPr="00182DCA">
        <w:rPr>
          <w:rFonts w:cs="Verdana"/>
          <w:lang w:val="en-GB"/>
        </w:rPr>
        <w:t xml:space="preserve">The following are exempt from the requirements: </w:t>
      </w:r>
    </w:p>
    <w:p w14:paraId="6522FA74" w14:textId="59847433" w:rsidR="00182DCA" w:rsidRPr="00182DCA" w:rsidRDefault="00182DCA" w:rsidP="00182DCA">
      <w:pPr>
        <w:pStyle w:val="Listenabsatz"/>
        <w:numPr>
          <w:ilvl w:val="0"/>
          <w:numId w:val="40"/>
        </w:numPr>
        <w:autoSpaceDE w:val="0"/>
        <w:autoSpaceDN w:val="0"/>
        <w:adjustRightInd w:val="0"/>
        <w:spacing w:after="69"/>
        <w:rPr>
          <w:rFonts w:cs="Verdana"/>
          <w:lang w:val="en-GB"/>
        </w:rPr>
      </w:pPr>
      <w:r w:rsidRPr="00182DCA">
        <w:rPr>
          <w:rFonts w:cs="Verdana"/>
          <w:lang w:val="en-GB"/>
        </w:rPr>
        <w:t xml:space="preserve">Process-related technically unavoidable impurities in concentrations below the classification thresholds for mixtures. </w:t>
      </w:r>
    </w:p>
    <w:p w14:paraId="09EF0F2F" w14:textId="4F4409EE" w:rsidR="00182DCA" w:rsidRPr="00182DCA" w:rsidRDefault="00182DCA" w:rsidP="00182DCA">
      <w:pPr>
        <w:pStyle w:val="Listenabsatz"/>
        <w:numPr>
          <w:ilvl w:val="0"/>
          <w:numId w:val="40"/>
        </w:numPr>
        <w:autoSpaceDE w:val="0"/>
        <w:autoSpaceDN w:val="0"/>
        <w:adjustRightInd w:val="0"/>
        <w:rPr>
          <w:rFonts w:cs="Verdana"/>
          <w:lang w:val="en-GB"/>
        </w:rPr>
      </w:pPr>
      <w:r w:rsidRPr="00182DCA">
        <w:rPr>
          <w:rFonts w:cs="Verdana"/>
          <w:lang w:val="en-GB"/>
        </w:rPr>
        <w:t xml:space="preserve">Monomers or additives that turn into polymers during the manufacture of plastics or are chemically (covalently) bound to the plastic if their residual concentrations are below the classification limit for mixtures. </w:t>
      </w:r>
    </w:p>
    <w:p w14:paraId="2DEBE3B2" w14:textId="6540B128" w:rsidR="00733869" w:rsidRPr="00182DCA" w:rsidRDefault="00733869" w:rsidP="00C161F3">
      <w:pPr>
        <w:pStyle w:val="Listenabsatz"/>
        <w:ind w:left="284"/>
        <w:contextualSpacing w:val="0"/>
        <w:rPr>
          <w:rFonts w:cs="Arial"/>
          <w:lang w:val="en-GB"/>
        </w:rPr>
      </w:pPr>
    </w:p>
    <w:p w14:paraId="56639C6D" w14:textId="696290FD" w:rsidR="00210D7D" w:rsidRDefault="00182DCA" w:rsidP="00C161F3">
      <w:pPr>
        <w:rPr>
          <w:rFonts w:cs="Arial"/>
          <w:lang w:val="en-GB"/>
        </w:rPr>
      </w:pPr>
      <w:r w:rsidRPr="00182DCA">
        <w:rPr>
          <w:rFonts w:cs="Arial"/>
          <w:lang w:val="en-GB"/>
        </w:rPr>
        <w:t>If the above product contains substances of the hazard classes and categories excluded above, please indicate substance name, label and function. On this basis it can be decided whether they are constitutional components of the final product (furniture).</w:t>
      </w:r>
    </w:p>
    <w:p w14:paraId="05612EA7" w14:textId="77777777" w:rsidR="00182DCA" w:rsidRPr="00182DCA" w:rsidRDefault="00182DCA" w:rsidP="00C161F3">
      <w:pPr>
        <w:rPr>
          <w:rFonts w:cs="Arial"/>
          <w:lang w:val="en-GB"/>
        </w:rPr>
      </w:pPr>
    </w:p>
    <w:tbl>
      <w:tblPr>
        <w:tblStyle w:val="Tabellenraster"/>
        <w:tblW w:w="8930" w:type="dxa"/>
        <w:tblCellMar>
          <w:top w:w="28" w:type="dxa"/>
          <w:left w:w="28" w:type="dxa"/>
          <w:bottom w:w="28" w:type="dxa"/>
          <w:right w:w="28" w:type="dxa"/>
        </w:tblCellMar>
        <w:tblLook w:val="04A0" w:firstRow="1" w:lastRow="0" w:firstColumn="1" w:lastColumn="0" w:noHBand="0" w:noVBand="1"/>
      </w:tblPr>
      <w:tblGrid>
        <w:gridCol w:w="3402"/>
        <w:gridCol w:w="1417"/>
        <w:gridCol w:w="1418"/>
        <w:gridCol w:w="2693"/>
      </w:tblGrid>
      <w:tr w:rsidR="00BB6457" w:rsidRPr="00C161F3" w14:paraId="5924989D" w14:textId="77777777" w:rsidTr="00744AA2">
        <w:tc>
          <w:tcPr>
            <w:tcW w:w="3402" w:type="dxa"/>
          </w:tcPr>
          <w:p w14:paraId="4FC1ACAE" w14:textId="187BDFB0" w:rsidR="00BB6457" w:rsidRPr="00BB6457" w:rsidRDefault="00182DCA" w:rsidP="00F25651">
            <w:pPr>
              <w:pStyle w:val="Listenabsatz"/>
              <w:ind w:left="0"/>
              <w:contextualSpacing w:val="0"/>
              <w:rPr>
                <w:rFonts w:cs="Arial"/>
              </w:rPr>
            </w:pPr>
            <w:proofErr w:type="spellStart"/>
            <w:r>
              <w:rPr>
                <w:rFonts w:cs="Arial"/>
              </w:rPr>
              <w:t>Substance</w:t>
            </w:r>
            <w:proofErr w:type="spellEnd"/>
          </w:p>
        </w:tc>
        <w:tc>
          <w:tcPr>
            <w:tcW w:w="1417" w:type="dxa"/>
          </w:tcPr>
          <w:p w14:paraId="540A7DA8" w14:textId="77777777" w:rsidR="00BB6457" w:rsidRPr="00BB6457" w:rsidRDefault="00BB6457" w:rsidP="00F25651">
            <w:pPr>
              <w:pStyle w:val="Listenabsatz"/>
              <w:ind w:left="0"/>
              <w:contextualSpacing w:val="0"/>
              <w:rPr>
                <w:rFonts w:cs="Arial"/>
              </w:rPr>
            </w:pPr>
            <w:r w:rsidRPr="00BB6457">
              <w:rPr>
                <w:rFonts w:cs="Arial"/>
              </w:rPr>
              <w:t>CAS-Nr.:</w:t>
            </w:r>
          </w:p>
        </w:tc>
        <w:tc>
          <w:tcPr>
            <w:tcW w:w="1418" w:type="dxa"/>
          </w:tcPr>
          <w:p w14:paraId="318365D5" w14:textId="09F37B94" w:rsidR="00BB6457" w:rsidRPr="00BB6457" w:rsidRDefault="00BB6457" w:rsidP="00F25651">
            <w:pPr>
              <w:rPr>
                <w:rFonts w:cs="Arial"/>
              </w:rPr>
            </w:pPr>
            <w:r w:rsidRPr="00BB6457">
              <w:rPr>
                <w:rFonts w:cs="Arial"/>
              </w:rPr>
              <w:t>H-</w:t>
            </w:r>
            <w:proofErr w:type="spellStart"/>
            <w:r w:rsidR="00182DCA">
              <w:rPr>
                <w:rFonts w:cs="Arial"/>
              </w:rPr>
              <w:t>Phrases</w:t>
            </w:r>
            <w:proofErr w:type="spellEnd"/>
          </w:p>
        </w:tc>
        <w:tc>
          <w:tcPr>
            <w:tcW w:w="2693" w:type="dxa"/>
          </w:tcPr>
          <w:p w14:paraId="18E66104" w14:textId="7CF6A9EC" w:rsidR="00BB6457" w:rsidRPr="00BB6457" w:rsidRDefault="00BB6457" w:rsidP="00F25651">
            <w:pPr>
              <w:rPr>
                <w:rFonts w:cs="Arial"/>
              </w:rPr>
            </w:pPr>
            <w:proofErr w:type="spellStart"/>
            <w:r w:rsidRPr="00BB6457">
              <w:rPr>
                <w:rFonts w:cs="Arial"/>
              </w:rPr>
              <w:t>Fun</w:t>
            </w:r>
            <w:r w:rsidR="00182DCA">
              <w:rPr>
                <w:rFonts w:cs="Arial"/>
              </w:rPr>
              <w:t>ction</w:t>
            </w:r>
            <w:proofErr w:type="spellEnd"/>
          </w:p>
        </w:tc>
      </w:tr>
      <w:tr w:rsidR="00BB6457" w:rsidRPr="00C161F3" w14:paraId="43D011E5" w14:textId="77777777" w:rsidTr="00744AA2">
        <w:tc>
          <w:tcPr>
            <w:tcW w:w="3402" w:type="dxa"/>
          </w:tcPr>
          <w:p w14:paraId="6BFFA7C8" w14:textId="77777777" w:rsidR="00BB6457" w:rsidRPr="00C161F3" w:rsidRDefault="00BB6457" w:rsidP="00F25651">
            <w:pPr>
              <w:pStyle w:val="Listenabsatz"/>
              <w:ind w:left="0"/>
              <w:contextualSpacing w:val="0"/>
              <w:rPr>
                <w:rFonts w:cs="Arial"/>
              </w:rPr>
            </w:pPr>
            <w:r w:rsidRPr="00C161F3">
              <w:rPr>
                <w:rFonts w:cs="Arial"/>
              </w:rPr>
              <w:fldChar w:fldCharType="begin">
                <w:ffData>
                  <w:name w:val="Text29"/>
                  <w:enabled/>
                  <w:calcOnExit w:val="0"/>
                  <w:textInput/>
                </w:ffData>
              </w:fldChar>
            </w:r>
            <w:bookmarkStart w:id="2" w:name="Text29"/>
            <w:r w:rsidRPr="00C161F3">
              <w:rPr>
                <w:rFonts w:cs="Arial"/>
              </w:rPr>
              <w:instrText xml:space="preserve"> FORMTEXT </w:instrText>
            </w:r>
            <w:r w:rsidRPr="00C161F3">
              <w:rPr>
                <w:rFonts w:cs="Arial"/>
              </w:rPr>
            </w:r>
            <w:r w:rsidRPr="00C161F3">
              <w:rPr>
                <w:rFonts w:cs="Arial"/>
              </w:rPr>
              <w:fldChar w:fldCharType="separate"/>
            </w:r>
            <w:bookmarkStart w:id="3" w:name="_GoBack"/>
            <w:r w:rsidRPr="00C161F3">
              <w:rPr>
                <w:noProof/>
              </w:rPr>
              <w:t> </w:t>
            </w:r>
            <w:r w:rsidRPr="00C161F3">
              <w:rPr>
                <w:noProof/>
              </w:rPr>
              <w:t> </w:t>
            </w:r>
            <w:r w:rsidRPr="00C161F3">
              <w:rPr>
                <w:noProof/>
              </w:rPr>
              <w:t> </w:t>
            </w:r>
            <w:r w:rsidRPr="00C161F3">
              <w:rPr>
                <w:noProof/>
              </w:rPr>
              <w:t> </w:t>
            </w:r>
            <w:r w:rsidRPr="00C161F3">
              <w:rPr>
                <w:noProof/>
              </w:rPr>
              <w:t> </w:t>
            </w:r>
            <w:bookmarkEnd w:id="3"/>
            <w:r w:rsidRPr="00C161F3">
              <w:rPr>
                <w:rFonts w:cs="Arial"/>
              </w:rPr>
              <w:fldChar w:fldCharType="end"/>
            </w:r>
          </w:p>
        </w:tc>
        <w:bookmarkEnd w:id="2"/>
        <w:tc>
          <w:tcPr>
            <w:tcW w:w="1417" w:type="dxa"/>
          </w:tcPr>
          <w:p w14:paraId="49D4A150" w14:textId="77777777" w:rsidR="00BB6457" w:rsidRPr="00C161F3" w:rsidRDefault="00BB6457" w:rsidP="00F25651">
            <w:pPr>
              <w:pStyle w:val="Listenabsatz"/>
              <w:ind w:left="0"/>
              <w:contextualSpacing w:val="0"/>
              <w:rPr>
                <w:rFonts w:cs="Arial"/>
              </w:rPr>
            </w:pPr>
            <w:r w:rsidRPr="00C161F3">
              <w:rPr>
                <w:rFonts w:cs="Arial"/>
              </w:rPr>
              <w:fldChar w:fldCharType="begin">
                <w:ffData>
                  <w:name w:val="Text37"/>
                  <w:enabled/>
                  <w:calcOnExit w:val="0"/>
                  <w:textInput/>
                </w:ffData>
              </w:fldChar>
            </w:r>
            <w:bookmarkStart w:id="4" w:name="Text37"/>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4"/>
          </w:p>
        </w:tc>
        <w:tc>
          <w:tcPr>
            <w:tcW w:w="1418" w:type="dxa"/>
          </w:tcPr>
          <w:p w14:paraId="7D3D4510" w14:textId="77777777" w:rsidR="00BB6457" w:rsidRPr="00C161F3" w:rsidRDefault="00BB6457" w:rsidP="00F25651">
            <w:pPr>
              <w:rPr>
                <w:rFonts w:cs="Arial"/>
              </w:rPr>
            </w:pPr>
            <w:r w:rsidRPr="00C161F3">
              <w:rPr>
                <w:rFonts w:cs="Arial"/>
              </w:rPr>
              <w:fldChar w:fldCharType="begin">
                <w:ffData>
                  <w:name w:val="Text30"/>
                  <w:enabled/>
                  <w:calcOnExit w:val="0"/>
                  <w:textInput/>
                </w:ffData>
              </w:fldChar>
            </w:r>
            <w:bookmarkStart w:id="5" w:name="Text30"/>
            <w:r w:rsidRPr="00C161F3">
              <w:rPr>
                <w:rFonts w:cs="Arial"/>
              </w:rPr>
              <w:instrText xml:space="preserve"> FORMTEXT </w:instrText>
            </w:r>
            <w:r w:rsidRPr="00C161F3">
              <w:rPr>
                <w:rFonts w:cs="Arial"/>
              </w:rPr>
            </w:r>
            <w:r w:rsidRPr="00C161F3">
              <w:rPr>
                <w:rFonts w:cs="Arial"/>
              </w:rPr>
              <w:fldChar w:fldCharType="separate"/>
            </w:r>
            <w:r w:rsidRPr="00C161F3">
              <w:rPr>
                <w:noProof/>
              </w:rPr>
              <w:t> </w:t>
            </w:r>
            <w:r w:rsidRPr="00C161F3">
              <w:rPr>
                <w:noProof/>
              </w:rPr>
              <w:t> </w:t>
            </w:r>
            <w:r w:rsidRPr="00C161F3">
              <w:rPr>
                <w:noProof/>
              </w:rPr>
              <w:t> </w:t>
            </w:r>
            <w:r w:rsidRPr="00C161F3">
              <w:rPr>
                <w:noProof/>
              </w:rPr>
              <w:t> </w:t>
            </w:r>
            <w:r w:rsidRPr="00C161F3">
              <w:rPr>
                <w:noProof/>
              </w:rPr>
              <w:t> </w:t>
            </w:r>
            <w:r w:rsidRPr="00C161F3">
              <w:rPr>
                <w:rFonts w:cs="Arial"/>
              </w:rPr>
              <w:fldChar w:fldCharType="end"/>
            </w:r>
            <w:bookmarkEnd w:id="5"/>
          </w:p>
        </w:tc>
        <w:tc>
          <w:tcPr>
            <w:tcW w:w="2693" w:type="dxa"/>
          </w:tcPr>
          <w:p w14:paraId="328F7033" w14:textId="11CECB53" w:rsidR="00744AA2" w:rsidRPr="00C161F3" w:rsidRDefault="00BB6457" w:rsidP="00F25651">
            <w:pPr>
              <w:rPr>
                <w:rFonts w:cs="Arial"/>
              </w:rPr>
            </w:pPr>
            <w:r>
              <w:rPr>
                <w:rFonts w:cs="Arial"/>
              </w:rPr>
              <w:fldChar w:fldCharType="begin">
                <w:ffData>
                  <w:name w:val="Text39"/>
                  <w:enabled/>
                  <w:calcOnExit w:val="0"/>
                  <w:textInput/>
                </w:ffData>
              </w:fldChar>
            </w:r>
            <w:bookmarkStart w:id="6" w:name="Text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
          </w:p>
        </w:tc>
      </w:tr>
    </w:tbl>
    <w:p w14:paraId="5BD0255A" w14:textId="1D0A124A" w:rsidR="00744AA2" w:rsidRDefault="00182DCA" w:rsidP="00C161F3">
      <w:pPr>
        <w:rPr>
          <w:rFonts w:cs="Arial"/>
          <w:lang w:val="en-GB"/>
        </w:rPr>
      </w:pPr>
      <w:r w:rsidRPr="00182DCA">
        <w:rPr>
          <w:rFonts w:cs="Arial"/>
          <w:lang w:val="en-GB"/>
        </w:rPr>
        <w:t>(Additional lines can be added by pressing "Enter" in the text field).</w:t>
      </w:r>
    </w:p>
    <w:p w14:paraId="266C61FF" w14:textId="77777777" w:rsidR="00182DCA" w:rsidRPr="00182DCA" w:rsidRDefault="00182DCA" w:rsidP="00C161F3">
      <w:pPr>
        <w:rPr>
          <w:rFonts w:cs="Arial"/>
          <w:lang w:val="en-GB"/>
        </w:rPr>
      </w:pPr>
    </w:p>
    <w:p w14:paraId="7EDA21AC" w14:textId="22518420" w:rsidR="00BB6457" w:rsidRPr="00C161F3" w:rsidRDefault="00182DCA" w:rsidP="00C161F3">
      <w:pPr>
        <w:rPr>
          <w:rFonts w:cs="Arial"/>
        </w:rPr>
      </w:pPr>
      <w:r>
        <w:rPr>
          <w:rFonts w:cs="Arial"/>
        </w:rPr>
        <w:t>Comments</w:t>
      </w:r>
      <w:r w:rsidR="00BB6457">
        <w:rPr>
          <w:rFonts w:cs="Arial"/>
        </w:rPr>
        <w:t>:</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F37B11" w:rsidRPr="00C161F3" w14:paraId="2837FE6B" w14:textId="77777777" w:rsidTr="00BB6457">
        <w:trPr>
          <w:trHeight w:hRule="exact" w:val="905"/>
        </w:trPr>
        <w:tc>
          <w:tcPr>
            <w:tcW w:w="9494" w:type="dxa"/>
          </w:tcPr>
          <w:p w14:paraId="4674F510" w14:textId="77777777" w:rsidR="00B9135A" w:rsidRPr="00C161F3" w:rsidRDefault="00F53FA5" w:rsidP="00C161F3">
            <w:pPr>
              <w:rPr>
                <w:rFonts w:cs="Arial"/>
              </w:rPr>
            </w:pPr>
            <w:r w:rsidRPr="00C161F3">
              <w:rPr>
                <w:rFonts w:cs="Arial"/>
              </w:rPr>
              <w:fldChar w:fldCharType="begin">
                <w:ffData>
                  <w:name w:val="Text17"/>
                  <w:enabled/>
                  <w:calcOnExit w:val="0"/>
                  <w:textInput/>
                </w:ffData>
              </w:fldChar>
            </w:r>
            <w:bookmarkStart w:id="7" w:name="Text17"/>
            <w:r w:rsidRPr="00C161F3">
              <w:rPr>
                <w:rFonts w:cs="Arial"/>
              </w:rPr>
              <w:instrText xml:space="preserve"> FORMTEXT </w:instrText>
            </w:r>
            <w:r w:rsidRPr="00C161F3">
              <w:rPr>
                <w:rFonts w:cs="Arial"/>
              </w:rPr>
            </w:r>
            <w:r w:rsidRPr="00C161F3">
              <w:rPr>
                <w:rFonts w:cs="Arial"/>
              </w:rPr>
              <w:fldChar w:fldCharType="separate"/>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noProof/>
              </w:rPr>
              <w:t> </w:t>
            </w:r>
            <w:r w:rsidRPr="00C161F3">
              <w:rPr>
                <w:rFonts w:cs="Arial"/>
              </w:rPr>
              <w:fldChar w:fldCharType="end"/>
            </w:r>
            <w:bookmarkEnd w:id="7"/>
          </w:p>
          <w:p w14:paraId="0FEA3D22" w14:textId="77777777" w:rsidR="00B9135A" w:rsidRPr="00C161F3" w:rsidRDefault="00B9135A" w:rsidP="00C161F3">
            <w:pPr>
              <w:rPr>
                <w:rFonts w:cs="Arial"/>
              </w:rPr>
            </w:pPr>
          </w:p>
        </w:tc>
      </w:tr>
    </w:tbl>
    <w:p w14:paraId="07282A23" w14:textId="77777777" w:rsidR="00581C26" w:rsidRPr="00C161F3" w:rsidRDefault="00581C26" w:rsidP="00C161F3">
      <w:pPr>
        <w:rPr>
          <w:rFonts w:cs="Arial"/>
        </w:rPr>
      </w:pPr>
    </w:p>
    <w:p w14:paraId="2AE53D55" w14:textId="77777777" w:rsidR="00581C26" w:rsidRPr="00C161F3" w:rsidRDefault="00581C26" w:rsidP="00C161F3">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BE7E69" w14:paraId="50EB24F4" w14:textId="77777777" w:rsidTr="00621904">
        <w:trPr>
          <w:trHeight w:val="488"/>
        </w:trPr>
        <w:tc>
          <w:tcPr>
            <w:tcW w:w="1273" w:type="dxa"/>
            <w:tcBorders>
              <w:top w:val="nil"/>
              <w:left w:val="nil"/>
              <w:bottom w:val="nil"/>
            </w:tcBorders>
            <w:vAlign w:val="center"/>
          </w:tcPr>
          <w:p w14:paraId="376EBDB2" w14:textId="484B39F3" w:rsidR="00F53FA5" w:rsidRPr="00BE7E69" w:rsidRDefault="00573324" w:rsidP="00B25A65">
            <w:pPr>
              <w:rPr>
                <w:rFonts w:cs="Arial"/>
                <w:b/>
              </w:rPr>
            </w:pPr>
            <w:r>
              <w:rPr>
                <w:rFonts w:cs="Arial"/>
                <w:b/>
              </w:rPr>
              <w:t>Place</w:t>
            </w:r>
            <w:r w:rsidR="00F53FA5" w:rsidRPr="00BE7E69">
              <w:rPr>
                <w:rFonts w:cs="Arial"/>
                <w:b/>
              </w:rPr>
              <w:t>:</w:t>
            </w:r>
          </w:p>
        </w:tc>
        <w:tc>
          <w:tcPr>
            <w:tcW w:w="2030" w:type="dxa"/>
            <w:tcBorders>
              <w:bottom w:val="single" w:sz="4" w:space="0" w:color="auto"/>
            </w:tcBorders>
            <w:vAlign w:val="center"/>
          </w:tcPr>
          <w:p w14:paraId="2E702B02" w14:textId="77777777" w:rsidR="00F53FA5" w:rsidRPr="00BE7E69" w:rsidRDefault="00F53FA5" w:rsidP="00AC0FE3">
            <w:pPr>
              <w:rPr>
                <w:rFonts w:cs="Arial"/>
              </w:rPr>
            </w:pPr>
            <w:r w:rsidRPr="00BE7E69">
              <w:rPr>
                <w:rFonts w:cs="Arial"/>
              </w:rPr>
              <w:fldChar w:fldCharType="begin">
                <w:ffData>
                  <w:name w:val="Text18"/>
                  <w:enabled/>
                  <w:calcOnExit w:val="0"/>
                  <w:textInput/>
                </w:ffData>
              </w:fldChar>
            </w:r>
            <w:bookmarkStart w:id="8" w:name="Text18"/>
            <w:r w:rsidRPr="00BE7E69">
              <w:rPr>
                <w:rFonts w:cs="Arial"/>
              </w:rPr>
              <w:instrText xml:space="preserve"> FORMTEXT </w:instrText>
            </w:r>
            <w:r w:rsidRPr="00BE7E69">
              <w:rPr>
                <w:rFonts w:cs="Arial"/>
              </w:rPr>
            </w:r>
            <w:r w:rsidRPr="00BE7E69">
              <w:rPr>
                <w:rFonts w:cs="Arial"/>
              </w:rPr>
              <w:fldChar w:fldCharType="separate"/>
            </w:r>
            <w:r w:rsidR="00AC0FE3" w:rsidRPr="00BE7E69">
              <w:rPr>
                <w:rFonts w:cs="Arial"/>
              </w:rPr>
              <w:t> </w:t>
            </w:r>
            <w:r w:rsidR="00AC0FE3" w:rsidRPr="00BE7E69">
              <w:rPr>
                <w:rFonts w:cs="Arial"/>
              </w:rPr>
              <w:t> </w:t>
            </w:r>
            <w:r w:rsidR="00AC0FE3" w:rsidRPr="00BE7E69">
              <w:rPr>
                <w:rFonts w:cs="Arial"/>
              </w:rPr>
              <w:t> </w:t>
            </w:r>
            <w:r w:rsidR="00AC0FE3" w:rsidRPr="00BE7E69">
              <w:rPr>
                <w:rFonts w:cs="Arial"/>
              </w:rPr>
              <w:t> </w:t>
            </w:r>
            <w:r w:rsidR="00AC0FE3" w:rsidRPr="00BE7E69">
              <w:rPr>
                <w:rFonts w:cs="Arial"/>
              </w:rPr>
              <w:t> </w:t>
            </w:r>
            <w:r w:rsidRPr="00BE7E69">
              <w:rPr>
                <w:rFonts w:cs="Arial"/>
              </w:rPr>
              <w:fldChar w:fldCharType="end"/>
            </w:r>
            <w:bookmarkEnd w:id="8"/>
          </w:p>
        </w:tc>
        <w:tc>
          <w:tcPr>
            <w:tcW w:w="448" w:type="dxa"/>
            <w:tcBorders>
              <w:top w:val="nil"/>
              <w:bottom w:val="nil"/>
            </w:tcBorders>
          </w:tcPr>
          <w:p w14:paraId="202EC14C" w14:textId="77777777" w:rsidR="00F53FA5" w:rsidRPr="00BE7E69" w:rsidRDefault="00F53FA5" w:rsidP="00B25A65">
            <w:pPr>
              <w:jc w:val="center"/>
              <w:rPr>
                <w:rFonts w:cs="Arial"/>
                <w:b/>
              </w:rPr>
            </w:pPr>
          </w:p>
        </w:tc>
        <w:sdt>
          <w:sdtPr>
            <w:rPr>
              <w:rFonts w:cs="Arial"/>
              <w:b/>
            </w:rPr>
            <w:id w:val="325168010"/>
            <w:showingPlcHdr/>
            <w:picture/>
          </w:sdtPr>
          <w:sdtEndPr/>
          <w:sdtContent>
            <w:tc>
              <w:tcPr>
                <w:tcW w:w="5580" w:type="dxa"/>
                <w:vMerge w:val="restart"/>
                <w:tcBorders>
                  <w:top w:val="single" w:sz="4" w:space="0" w:color="auto"/>
                  <w:right w:val="single" w:sz="4" w:space="0" w:color="auto"/>
                </w:tcBorders>
                <w:vAlign w:val="bottom"/>
              </w:tcPr>
              <w:p w14:paraId="3CBA44B8" w14:textId="658A1BB3" w:rsidR="00F53FA5" w:rsidRPr="00BE7E69" w:rsidRDefault="005952C6" w:rsidP="00621904">
                <w:pPr>
                  <w:rPr>
                    <w:rFonts w:cs="Arial"/>
                    <w:b/>
                  </w:rPr>
                </w:pPr>
                <w:r>
                  <w:rPr>
                    <w:rFonts w:cs="Arial"/>
                    <w:b/>
                    <w:noProof/>
                  </w:rPr>
                  <w:drawing>
                    <wp:inline distT="0" distB="0" distL="0" distR="0" wp14:anchorId="235B45FE" wp14:editId="67C9015B">
                      <wp:extent cx="1466850" cy="1290988"/>
                      <wp:effectExtent l="0" t="0" r="0" b="444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F53FA5" w:rsidRPr="00BE7E69" w14:paraId="37C0A0AF" w14:textId="77777777" w:rsidTr="0082080A">
        <w:tc>
          <w:tcPr>
            <w:tcW w:w="1273" w:type="dxa"/>
            <w:tcBorders>
              <w:top w:val="nil"/>
              <w:left w:val="nil"/>
              <w:bottom w:val="nil"/>
              <w:right w:val="nil"/>
            </w:tcBorders>
            <w:vAlign w:val="center"/>
          </w:tcPr>
          <w:p w14:paraId="67F583DF" w14:textId="77777777" w:rsidR="00F53FA5" w:rsidRPr="00BE7E69" w:rsidRDefault="00F53FA5" w:rsidP="00B25A65">
            <w:pPr>
              <w:rPr>
                <w:rFonts w:cs="Arial"/>
                <w:b/>
              </w:rPr>
            </w:pPr>
          </w:p>
        </w:tc>
        <w:tc>
          <w:tcPr>
            <w:tcW w:w="2030" w:type="dxa"/>
            <w:tcBorders>
              <w:left w:val="nil"/>
              <w:bottom w:val="nil"/>
              <w:right w:val="nil"/>
            </w:tcBorders>
            <w:vAlign w:val="center"/>
          </w:tcPr>
          <w:p w14:paraId="50D0FD0B" w14:textId="77777777" w:rsidR="00F53FA5" w:rsidRPr="00BE7E69" w:rsidRDefault="00F53FA5" w:rsidP="00B25A65">
            <w:pPr>
              <w:jc w:val="center"/>
              <w:rPr>
                <w:rFonts w:cs="Arial"/>
                <w:b/>
              </w:rPr>
            </w:pPr>
          </w:p>
        </w:tc>
        <w:tc>
          <w:tcPr>
            <w:tcW w:w="448" w:type="dxa"/>
            <w:tcBorders>
              <w:top w:val="nil"/>
              <w:left w:val="nil"/>
              <w:bottom w:val="nil"/>
            </w:tcBorders>
          </w:tcPr>
          <w:p w14:paraId="7C887293" w14:textId="77777777" w:rsidR="00F53FA5" w:rsidRPr="00BE7E69" w:rsidRDefault="00F53FA5" w:rsidP="00B25A65">
            <w:pPr>
              <w:jc w:val="center"/>
              <w:rPr>
                <w:rFonts w:cs="Arial"/>
                <w:b/>
              </w:rPr>
            </w:pPr>
          </w:p>
        </w:tc>
        <w:tc>
          <w:tcPr>
            <w:tcW w:w="5580" w:type="dxa"/>
            <w:vMerge/>
            <w:tcBorders>
              <w:right w:val="single" w:sz="4" w:space="0" w:color="auto"/>
            </w:tcBorders>
            <w:vAlign w:val="center"/>
          </w:tcPr>
          <w:p w14:paraId="19A05A9B" w14:textId="77777777" w:rsidR="00F53FA5" w:rsidRPr="00BE7E69" w:rsidRDefault="00F53FA5" w:rsidP="00B25A65">
            <w:pPr>
              <w:jc w:val="center"/>
              <w:rPr>
                <w:rFonts w:cs="Arial"/>
                <w:b/>
              </w:rPr>
            </w:pPr>
          </w:p>
        </w:tc>
      </w:tr>
      <w:tr w:rsidR="00F53FA5" w:rsidRPr="00BE7E69" w14:paraId="66B70ADA" w14:textId="77777777" w:rsidTr="00744AA2">
        <w:trPr>
          <w:trHeight w:val="1261"/>
        </w:trPr>
        <w:tc>
          <w:tcPr>
            <w:tcW w:w="1273" w:type="dxa"/>
            <w:tcBorders>
              <w:top w:val="nil"/>
              <w:left w:val="nil"/>
              <w:bottom w:val="nil"/>
              <w:right w:val="nil"/>
            </w:tcBorders>
            <w:vAlign w:val="center"/>
          </w:tcPr>
          <w:p w14:paraId="73E13223" w14:textId="45DEE2BF" w:rsidR="00F53FA5" w:rsidRPr="00BE7E69" w:rsidRDefault="00F53FA5" w:rsidP="00B25A65">
            <w:pPr>
              <w:rPr>
                <w:rFonts w:cs="Arial"/>
                <w:b/>
              </w:rPr>
            </w:pPr>
            <w:r w:rsidRPr="00BE7E69">
              <w:rPr>
                <w:rFonts w:cs="Arial"/>
                <w:b/>
              </w:rPr>
              <w:t>Da</w:t>
            </w:r>
            <w:r w:rsidR="00573324">
              <w:rPr>
                <w:rFonts w:cs="Arial"/>
                <w:b/>
              </w:rPr>
              <w:t>te</w:t>
            </w:r>
            <w:r w:rsidRPr="00BE7E69">
              <w:rPr>
                <w:rFonts w:cs="Arial"/>
                <w:b/>
              </w:rPr>
              <w:t>:</w:t>
            </w:r>
          </w:p>
        </w:tc>
        <w:tc>
          <w:tcPr>
            <w:tcW w:w="2030" w:type="dxa"/>
            <w:tcBorders>
              <w:top w:val="nil"/>
              <w:left w:val="nil"/>
              <w:bottom w:val="nil"/>
              <w:right w:val="nil"/>
            </w:tcBorders>
            <w:vAlign w:val="center"/>
          </w:tcPr>
          <w:p w14:paraId="214D5D61" w14:textId="77777777" w:rsidR="00F53FA5" w:rsidRPr="00BE7E69" w:rsidRDefault="00AC0FE3" w:rsidP="00AC0FE3">
            <w:pPr>
              <w:rPr>
                <w:rFonts w:cs="Arial"/>
              </w:rPr>
            </w:pPr>
            <w:r w:rsidRPr="00BE7E69">
              <w:rPr>
                <w:rFonts w:cs="Arial"/>
              </w:rPr>
              <w:fldChar w:fldCharType="begin">
                <w:ffData>
                  <w:name w:val="Text19"/>
                  <w:enabled/>
                  <w:calcOnExit w:val="0"/>
                  <w:textInput>
                    <w:type w:val="date"/>
                    <w:format w:val="dd.MM.yyyy"/>
                  </w:textInput>
                </w:ffData>
              </w:fldChar>
            </w:r>
            <w:bookmarkStart w:id="9" w:name="Text19"/>
            <w:r w:rsidRPr="00BE7E69">
              <w:rPr>
                <w:rFonts w:cs="Arial"/>
              </w:rPr>
              <w:instrText xml:space="preserve"> FORMTEXT </w:instrText>
            </w:r>
            <w:r w:rsidRPr="00BE7E69">
              <w:rPr>
                <w:rFonts w:cs="Arial"/>
              </w:rPr>
            </w:r>
            <w:r w:rsidRPr="00BE7E69">
              <w:rPr>
                <w:rFonts w:cs="Arial"/>
              </w:rPr>
              <w:fldChar w:fldCharType="separate"/>
            </w:r>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noProof/>
              </w:rPr>
              <w:t> </w:t>
            </w:r>
            <w:r w:rsidRPr="00BE7E69">
              <w:rPr>
                <w:rFonts w:cs="Arial"/>
              </w:rPr>
              <w:fldChar w:fldCharType="end"/>
            </w:r>
            <w:bookmarkEnd w:id="9"/>
          </w:p>
        </w:tc>
        <w:tc>
          <w:tcPr>
            <w:tcW w:w="448" w:type="dxa"/>
            <w:tcBorders>
              <w:top w:val="nil"/>
              <w:left w:val="nil"/>
              <w:bottom w:val="nil"/>
            </w:tcBorders>
          </w:tcPr>
          <w:p w14:paraId="30042509" w14:textId="77777777" w:rsidR="00F53FA5" w:rsidRPr="00BE7E69"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2A0D9919" w14:textId="77777777" w:rsidR="00F53FA5" w:rsidRPr="00BE7E69" w:rsidRDefault="00F53FA5" w:rsidP="00B25A65">
            <w:pPr>
              <w:jc w:val="right"/>
              <w:rPr>
                <w:rFonts w:cs="Arial"/>
                <w:b/>
              </w:rPr>
            </w:pPr>
          </w:p>
        </w:tc>
      </w:tr>
    </w:tbl>
    <w:p w14:paraId="172844EF" w14:textId="0B74F8EE" w:rsidR="0076549D" w:rsidRPr="00BE7E69" w:rsidRDefault="00573324" w:rsidP="00573324">
      <w:pPr>
        <w:ind w:left="2832" w:firstLine="708"/>
        <w:jc w:val="center"/>
        <w:rPr>
          <w:rFonts w:cs="Arial"/>
        </w:rPr>
      </w:pPr>
      <w:proofErr w:type="spellStart"/>
      <w:r w:rsidRPr="00573324">
        <w:rPr>
          <w:rFonts w:cs="Arial"/>
          <w:b/>
        </w:rPr>
        <w:t>Legally</w:t>
      </w:r>
      <w:proofErr w:type="spellEnd"/>
      <w:r w:rsidRPr="00573324">
        <w:rPr>
          <w:rFonts w:cs="Arial"/>
          <w:b/>
        </w:rPr>
        <w:t xml:space="preserve"> </w:t>
      </w:r>
      <w:proofErr w:type="spellStart"/>
      <w:r w:rsidRPr="00573324">
        <w:rPr>
          <w:rFonts w:cs="Arial"/>
          <w:b/>
        </w:rPr>
        <w:t>binding</w:t>
      </w:r>
      <w:proofErr w:type="spellEnd"/>
      <w:r w:rsidRPr="00573324">
        <w:rPr>
          <w:rFonts w:cs="Arial"/>
          <w:b/>
        </w:rPr>
        <w:t xml:space="preserve"> </w:t>
      </w:r>
      <w:proofErr w:type="spellStart"/>
      <w:r w:rsidRPr="00573324">
        <w:rPr>
          <w:rFonts w:cs="Arial"/>
          <w:b/>
        </w:rPr>
        <w:t>signature</w:t>
      </w:r>
      <w:proofErr w:type="spellEnd"/>
      <w:r w:rsidRPr="00573324">
        <w:rPr>
          <w:rFonts w:cs="Arial"/>
          <w:b/>
        </w:rPr>
        <w:t xml:space="preserve"> / </w:t>
      </w:r>
      <w:proofErr w:type="spellStart"/>
      <w:r w:rsidRPr="00573324">
        <w:rPr>
          <w:rFonts w:cs="Arial"/>
          <w:b/>
        </w:rPr>
        <w:t>company</w:t>
      </w:r>
      <w:proofErr w:type="spellEnd"/>
      <w:r w:rsidRPr="00573324">
        <w:rPr>
          <w:rFonts w:cs="Arial"/>
          <w:b/>
        </w:rPr>
        <w:t xml:space="preserve"> </w:t>
      </w:r>
      <w:proofErr w:type="spellStart"/>
      <w:r w:rsidRPr="00573324">
        <w:rPr>
          <w:rFonts w:cs="Arial"/>
          <w:b/>
        </w:rPr>
        <w:t>stamp</w:t>
      </w:r>
      <w:proofErr w:type="spellEnd"/>
    </w:p>
    <w:sectPr w:rsidR="0076549D" w:rsidRPr="00BE7E69"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2BA7EB3F" w:rsidR="008F3719" w:rsidRPr="00573324" w:rsidRDefault="008F3719" w:rsidP="00581C26">
    <w:pPr>
      <w:pStyle w:val="Fuzeile"/>
      <w:tabs>
        <w:tab w:val="clear" w:pos="9072"/>
        <w:tab w:val="right" w:pos="9540"/>
      </w:tabs>
      <w:rPr>
        <w:rFonts w:cs="Arial"/>
        <w:lang w:val="en-GB"/>
      </w:rPr>
    </w:pPr>
    <w:r w:rsidRPr="00573324">
      <w:rPr>
        <w:rFonts w:cs="Arial"/>
        <w:lang w:val="en-GB"/>
      </w:rPr>
      <w:t>An</w:t>
    </w:r>
    <w:r w:rsidR="00573324" w:rsidRPr="00573324">
      <w:rPr>
        <w:rFonts w:cs="Arial"/>
        <w:lang w:val="en-GB"/>
      </w:rPr>
      <w:t>nex</w:t>
    </w:r>
    <w:r w:rsidRPr="00573324">
      <w:rPr>
        <w:rFonts w:cs="Arial"/>
        <w:lang w:val="en-GB"/>
      </w:rPr>
      <w:t xml:space="preserve"> </w:t>
    </w:r>
    <w:r w:rsidR="00BB6457" w:rsidRPr="00573324">
      <w:rPr>
        <w:rFonts w:cs="Arial"/>
        <w:lang w:val="en-GB"/>
      </w:rPr>
      <w:t>4</w:t>
    </w:r>
    <w:r w:rsidR="00290A18" w:rsidRPr="00573324">
      <w:rPr>
        <w:rFonts w:cs="Arial"/>
        <w:lang w:val="en-GB"/>
      </w:rPr>
      <w:t xml:space="preserve"> - 23.02.2022</w:t>
    </w:r>
    <w:r w:rsidRPr="00573324">
      <w:rPr>
        <w:rFonts w:cs="Arial"/>
        <w:lang w:val="en-GB"/>
      </w:rPr>
      <w:t xml:space="preserve"> </w:t>
    </w:r>
    <w:r w:rsidRPr="00573324">
      <w:rPr>
        <w:rFonts w:cs="Arial"/>
        <w:lang w:val="en-GB"/>
      </w:rPr>
      <w:tab/>
    </w:r>
    <w:r w:rsidRPr="00B9135A">
      <w:rPr>
        <w:rStyle w:val="Seitenzahl"/>
        <w:rFonts w:cs="Arial"/>
      </w:rPr>
      <w:fldChar w:fldCharType="begin"/>
    </w:r>
    <w:r w:rsidRPr="00573324">
      <w:rPr>
        <w:rStyle w:val="Seitenzahl"/>
        <w:rFonts w:cs="Arial"/>
        <w:lang w:val="en-GB"/>
      </w:rPr>
      <w:instrText xml:space="preserve"> PAGE </w:instrText>
    </w:r>
    <w:r w:rsidRPr="00B9135A">
      <w:rPr>
        <w:rStyle w:val="Seitenzahl"/>
        <w:rFonts w:cs="Arial"/>
      </w:rPr>
      <w:fldChar w:fldCharType="separate"/>
    </w:r>
    <w:r w:rsidR="00B9135A" w:rsidRPr="00573324">
      <w:rPr>
        <w:rStyle w:val="Seitenzahl"/>
        <w:rFonts w:cs="Arial"/>
        <w:noProof/>
        <w:lang w:val="en-GB"/>
      </w:rPr>
      <w:t>1</w:t>
    </w:r>
    <w:r w:rsidRPr="00B9135A">
      <w:rPr>
        <w:rStyle w:val="Seitenzahl"/>
        <w:rFonts w:cs="Arial"/>
      </w:rPr>
      <w:fldChar w:fldCharType="end"/>
    </w:r>
    <w:r w:rsidRPr="00573324">
      <w:rPr>
        <w:rStyle w:val="Seitenzahl"/>
        <w:rFonts w:cs="Arial"/>
        <w:lang w:val="en-GB"/>
      </w:rPr>
      <w:t>/</w:t>
    </w:r>
    <w:r w:rsidRPr="00B9135A">
      <w:rPr>
        <w:rStyle w:val="Seitenzahl"/>
        <w:rFonts w:cs="Arial"/>
      </w:rPr>
      <w:fldChar w:fldCharType="begin"/>
    </w:r>
    <w:r w:rsidRPr="00573324">
      <w:rPr>
        <w:rStyle w:val="Seitenzahl"/>
        <w:rFonts w:cs="Arial"/>
        <w:lang w:val="en-GB"/>
      </w:rPr>
      <w:instrText xml:space="preserve"> NUMPAGES </w:instrText>
    </w:r>
    <w:r w:rsidRPr="00B9135A">
      <w:rPr>
        <w:rStyle w:val="Seitenzahl"/>
        <w:rFonts w:cs="Arial"/>
      </w:rPr>
      <w:fldChar w:fldCharType="separate"/>
    </w:r>
    <w:r w:rsidR="00B9135A" w:rsidRPr="00573324">
      <w:rPr>
        <w:rStyle w:val="Seitenzahl"/>
        <w:rFonts w:cs="Arial"/>
        <w:noProof/>
        <w:lang w:val="en-GB"/>
      </w:rPr>
      <w:t>2</w:t>
    </w:r>
    <w:r w:rsidRPr="00B9135A">
      <w:rPr>
        <w:rStyle w:val="Seitenzahl"/>
        <w:rFonts w:cs="Arial"/>
      </w:rPr>
      <w:fldChar w:fldCharType="end"/>
    </w:r>
    <w:r w:rsidR="00B9135A" w:rsidRPr="00573324">
      <w:rPr>
        <w:rStyle w:val="Seitenzahl"/>
        <w:rFonts w:cs="Arial"/>
        <w:lang w:val="en-GB"/>
      </w:rPr>
      <w:tab/>
      <w:t xml:space="preserve">     DE</w:t>
    </w:r>
    <w:r w:rsidRPr="00573324">
      <w:rPr>
        <w:rStyle w:val="Seitenzahl"/>
        <w:rFonts w:cs="Arial"/>
        <w:lang w:val="en-GB"/>
      </w:rPr>
      <w:t xml:space="preserve">-UZ </w:t>
    </w:r>
    <w:r w:rsidR="00BB6457" w:rsidRPr="00573324">
      <w:rPr>
        <w:rStyle w:val="Seitenzahl"/>
        <w:rFonts w:cs="Arial"/>
        <w:lang w:val="en-GB"/>
      </w:rPr>
      <w:t>38</w:t>
    </w:r>
    <w:r w:rsidRPr="00573324">
      <w:rPr>
        <w:rStyle w:val="Seitenzahl"/>
        <w:rFonts w:cs="Arial"/>
        <w:lang w:val="en-GB"/>
      </w:rPr>
      <w:t xml:space="preserve"> </w:t>
    </w:r>
    <w:r w:rsidR="00573324" w:rsidRPr="00573324">
      <w:rPr>
        <w:rStyle w:val="Seitenzahl"/>
        <w:rFonts w:cs="Arial"/>
        <w:lang w:val="en-GB"/>
      </w:rPr>
      <w:t>Edition January</w:t>
    </w:r>
    <w:r w:rsidR="00F32CD8" w:rsidRPr="00573324">
      <w:rPr>
        <w:rStyle w:val="Seitenzahl"/>
        <w:rFonts w:cs="Arial"/>
        <w:lang w:val="en-GB"/>
      </w:rPr>
      <w:t xml:space="preserve"> 20</w:t>
    </w:r>
    <w:r w:rsidR="00BB6457" w:rsidRPr="00573324">
      <w:rPr>
        <w:rStyle w:val="Seitenzahl"/>
        <w:rFonts w:cs="Arial"/>
        <w:lang w:val="en-GB"/>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51B462DC" w14:textId="0BD1837B"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Regulation (EC) No. 1906/2006 concerning the Registration, Evaluation, Authorisation and Restriction of Chemicals, in short REACH </w:t>
      </w:r>
      <w:r w:rsidRPr="00573324">
        <w:rPr>
          <w:lang w:val="en-GB"/>
        </w:rPr>
        <w:t xml:space="preserve"> </w:t>
      </w:r>
    </w:p>
  </w:footnote>
  <w:footnote w:id="2">
    <w:p w14:paraId="48967531" w14:textId="587002FA"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Regulation (EU) 2019/1021 of the European Parliament and of the Council of 20 June 2019 on persistent organic pollutants </w:t>
      </w:r>
      <w:r w:rsidRPr="00573324">
        <w:rPr>
          <w:lang w:val="en-GB"/>
        </w:rPr>
        <w:t xml:space="preserve"> </w:t>
      </w:r>
    </w:p>
  </w:footnote>
  <w:footnote w:id="3">
    <w:p w14:paraId="16D22360" w14:textId="76DB11A3"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Regulation (EU) No 528/2012 of the European Parliament and of the Council of 22 May 2012 concerning the making available on the market and use of biocidal products </w:t>
      </w:r>
      <w:r w:rsidRPr="00573324">
        <w:rPr>
          <w:lang w:val="en-GB"/>
        </w:rPr>
        <w:t xml:space="preserve"> </w:t>
      </w:r>
    </w:p>
  </w:footnote>
  <w:footnote w:id="4">
    <w:p w14:paraId="408262DD" w14:textId="55376186" w:rsidR="00573324" w:rsidRPr="00573324" w:rsidRDefault="00573324">
      <w:pPr>
        <w:pStyle w:val="Funotentext"/>
        <w:rPr>
          <w:lang w:val="en-GB"/>
        </w:rPr>
      </w:pPr>
      <w:r>
        <w:rPr>
          <w:rStyle w:val="Funotenzeichen"/>
        </w:rPr>
        <w:footnoteRef/>
      </w:r>
      <w:r w:rsidRPr="00573324">
        <w:rPr>
          <w:lang w:val="en-GB"/>
        </w:rPr>
        <w:t xml:space="preserve"> </w:t>
      </w:r>
      <w:r w:rsidRPr="00573324">
        <w:rPr>
          <w:lang w:val="en-GB"/>
        </w:rPr>
        <w:t xml:space="preserve">If other legal regulations also apply to specific products, these also need to be observed.  </w:t>
      </w:r>
    </w:p>
  </w:footnote>
  <w:footnote w:id="5">
    <w:p w14:paraId="04F06E91" w14:textId="2E5C1C41"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Formaldehyde is exempt from these general requirements. These Basic Award Criteria contain specific requirements for this substance. </w:t>
      </w:r>
      <w:r w:rsidRPr="00573324">
        <w:rPr>
          <w:lang w:val="en-GB"/>
        </w:rPr>
        <w:t xml:space="preserve"> </w:t>
      </w:r>
    </w:p>
  </w:footnote>
  <w:footnote w:id="6">
    <w:p w14:paraId="47A8CE10" w14:textId="77777777" w:rsidR="00573324" w:rsidRPr="00573324" w:rsidRDefault="00573324" w:rsidP="00573324">
      <w:pPr>
        <w:pStyle w:val="Default"/>
        <w:ind w:left="170" w:hanging="170"/>
        <w:rPr>
          <w:rFonts w:ascii="Verdana" w:hAnsi="Verdana" w:cs="Verdana"/>
          <w:sz w:val="18"/>
          <w:szCs w:val="18"/>
          <w:lang w:val="en-GB"/>
        </w:rPr>
      </w:pPr>
      <w:r>
        <w:rPr>
          <w:rStyle w:val="Funotenzeichen"/>
        </w:rPr>
        <w:footnoteRef/>
      </w:r>
      <w:r>
        <w:t></w:t>
      </w:r>
      <w:r w:rsidRPr="00573324">
        <w:rPr>
          <w:rFonts w:ascii="Verdana" w:hAnsi="Verdana" w:cs="Verdana"/>
          <w:sz w:val="18"/>
          <w:szCs w:val="18"/>
          <w:lang w:val="en-GB"/>
        </w:rPr>
        <w:t xml:space="preserve">The version of the list of candidates at the time of application is valid. The list of candidates in its relevant version can be found at: </w:t>
      </w:r>
    </w:p>
    <w:p w14:paraId="221CFCFF" w14:textId="30811A40" w:rsidR="00573324" w:rsidRPr="00573324" w:rsidRDefault="00573324" w:rsidP="00573324">
      <w:pPr>
        <w:pStyle w:val="Funotentext"/>
        <w:ind w:left="170" w:hanging="170"/>
        <w:rPr>
          <w:lang w:val="en-GB"/>
        </w:rPr>
      </w:pPr>
      <w:r>
        <w:rPr>
          <w:rFonts w:cs="Verdana"/>
          <w:color w:val="0000FF"/>
          <w:sz w:val="18"/>
          <w:szCs w:val="18"/>
          <w:lang w:val="en-GB"/>
        </w:rPr>
        <w:t xml:space="preserve">  </w:t>
      </w:r>
      <w:r w:rsidRPr="00573324">
        <w:rPr>
          <w:rFonts w:cs="Verdana"/>
          <w:color w:val="0000FF"/>
          <w:sz w:val="18"/>
          <w:szCs w:val="18"/>
          <w:lang w:val="en-GB"/>
        </w:rPr>
        <w:t xml:space="preserve">https://echa.europa.eu/de/regulations/reach/candidate-list-substances-in-articles </w:t>
      </w:r>
      <w:r w:rsidRPr="00573324">
        <w:rPr>
          <w:rFonts w:cs="Verdana"/>
          <w:sz w:val="24"/>
          <w:szCs w:val="24"/>
          <w:lang w:val="en-GB"/>
        </w:rPr>
        <w:t xml:space="preserve"> </w:t>
      </w:r>
    </w:p>
  </w:footnote>
  <w:footnote w:id="7">
    <w:p w14:paraId="11CC23B2" w14:textId="51C99291"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Regulation (EC) No. 1272/2008 on classification, labelling and packaging of substances and mixtures, short: CLP Regulation (Classification, Labelling and Packing). It replaces the old directives 67/548/EEC (Dangerous Substances Directive) and 1999/45/EC (Dangerous Preparations Directive). </w:t>
      </w:r>
      <w:r w:rsidRPr="00573324">
        <w:rPr>
          <w:lang w:val="en-GB"/>
        </w:rPr>
        <w:t xml:space="preserve"> </w:t>
      </w:r>
    </w:p>
  </w:footnote>
  <w:footnote w:id="8">
    <w:p w14:paraId="3A7DE26B" w14:textId="627B29BC"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The harmonized classifications and </w:t>
      </w:r>
      <w:proofErr w:type="spellStart"/>
      <w:r w:rsidRPr="00573324">
        <w:rPr>
          <w:sz w:val="18"/>
          <w:szCs w:val="18"/>
          <w:lang w:val="en-GB"/>
        </w:rPr>
        <w:t>labellings</w:t>
      </w:r>
      <w:proofErr w:type="spellEnd"/>
      <w:r w:rsidRPr="00573324">
        <w:rPr>
          <w:sz w:val="18"/>
          <w:szCs w:val="18"/>
          <w:lang w:val="en-GB"/>
        </w:rPr>
        <w:t xml:space="preserve"> of hazardous substances can be found in Annex VI, Part 3 of the CLP Regulation. Furthermore, a comprehensive classification and labelling inventory, which also includes all of the self-classifications of hazardous substances made by manufacturers, has been made available to the public on the website of the European Chemicals Agency: ECHA classification and label-ling inventory. </w:t>
      </w:r>
      <w:r w:rsidRPr="00573324">
        <w:rPr>
          <w:lang w:val="en-GB"/>
        </w:rPr>
        <w:t xml:space="preserve"> </w:t>
      </w:r>
    </w:p>
  </w:footnote>
  <w:footnote w:id="9">
    <w:p w14:paraId="0E4C3239" w14:textId="4E8EBA0C" w:rsidR="00573324" w:rsidRPr="00573324" w:rsidRDefault="00573324" w:rsidP="00573324">
      <w:pPr>
        <w:pStyle w:val="Funotentext"/>
        <w:ind w:left="170" w:hanging="170"/>
        <w:rPr>
          <w:lang w:val="en-GB"/>
        </w:rPr>
      </w:pPr>
      <w:r>
        <w:rPr>
          <w:rStyle w:val="Funotenzeichen"/>
        </w:rPr>
        <w:footnoteRef/>
      </w:r>
      <w:r w:rsidRPr="00573324">
        <w:rPr>
          <w:lang w:val="en-GB"/>
        </w:rPr>
        <w:t xml:space="preserve"> </w:t>
      </w:r>
      <w:r w:rsidRPr="00573324">
        <w:rPr>
          <w:sz w:val="18"/>
          <w:szCs w:val="18"/>
          <w:lang w:val="en-GB"/>
        </w:rPr>
        <w:t xml:space="preserve">Substances with other hazardous properties (i.e. CMR substances in category 2) are not excluded here but are instead restricted by the emissions evaluation (see Paragraph 3.2.). </w:t>
      </w:r>
      <w:r w:rsidRPr="00573324">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77777777" w:rsidR="008F3719" w:rsidRDefault="00B9135A">
    <w:pPr>
      <w:pStyle w:val="Kopfzeile"/>
    </w:pPr>
    <w:r>
      <w:rPr>
        <w:noProof/>
      </w:rPr>
      <w:drawing>
        <wp:anchor distT="0" distB="0" distL="114300" distR="114300" simplePos="0" relativeHeight="251660800" behindDoc="0" locked="0" layoutInCell="1" allowOverlap="1" wp14:anchorId="3D959650" wp14:editId="2EB4555A">
          <wp:simplePos x="0" y="0"/>
          <wp:positionH relativeFrom="column">
            <wp:posOffset>5133340</wp:posOffset>
          </wp:positionH>
          <wp:positionV relativeFrom="paragraph">
            <wp:posOffset>-442595</wp:posOffset>
          </wp:positionV>
          <wp:extent cx="759017" cy="532800"/>
          <wp:effectExtent l="0" t="0" r="317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759017" cy="532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5"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463474"/>
    <w:multiLevelType w:val="hybridMultilevel"/>
    <w:tmpl w:val="F4BC667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1C33F87"/>
    <w:multiLevelType w:val="hybridMultilevel"/>
    <w:tmpl w:val="9C2822F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190111E5"/>
    <w:multiLevelType w:val="hybridMultilevel"/>
    <w:tmpl w:val="4D570CA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6A1A0B"/>
    <w:multiLevelType w:val="hybridMultilevel"/>
    <w:tmpl w:val="007ABD64"/>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E6E77E"/>
    <w:multiLevelType w:val="hybridMultilevel"/>
    <w:tmpl w:val="43B57F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C23638"/>
    <w:multiLevelType w:val="hybridMultilevel"/>
    <w:tmpl w:val="A734E504"/>
    <w:lvl w:ilvl="0" w:tplc="FFFFFFFF">
      <w:start w:val="1"/>
      <w:numFmt w:val="bullet"/>
      <w:lvlText w:val="•"/>
      <w:lvlJc w:val="left"/>
      <w:pPr>
        <w:ind w:left="1068" w:hanging="360"/>
      </w:p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3"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1"/>
  </w:num>
  <w:num w:numId="2">
    <w:abstractNumId w:val="14"/>
  </w:num>
  <w:num w:numId="3">
    <w:abstractNumId w:val="33"/>
  </w:num>
  <w:num w:numId="4">
    <w:abstractNumId w:val="39"/>
  </w:num>
  <w:num w:numId="5">
    <w:abstractNumId w:val="13"/>
  </w:num>
  <w:num w:numId="6">
    <w:abstractNumId w:val="36"/>
  </w:num>
  <w:num w:numId="7">
    <w:abstractNumId w:val="38"/>
  </w:num>
  <w:num w:numId="8">
    <w:abstractNumId w:val="26"/>
  </w:num>
  <w:num w:numId="9">
    <w:abstractNumId w:val="28"/>
  </w:num>
  <w:num w:numId="10">
    <w:abstractNumId w:val="17"/>
  </w:num>
  <w:num w:numId="11">
    <w:abstractNumId w:val="35"/>
  </w:num>
  <w:num w:numId="12">
    <w:abstractNumId w:val="20"/>
  </w:num>
  <w:num w:numId="13">
    <w:abstractNumId w:val="16"/>
  </w:num>
  <w:num w:numId="14">
    <w:abstractNumId w:val="8"/>
  </w:num>
  <w:num w:numId="15">
    <w:abstractNumId w:val="23"/>
  </w:num>
  <w:num w:numId="16">
    <w:abstractNumId w:val="18"/>
  </w:num>
  <w:num w:numId="17">
    <w:abstractNumId w:val="27"/>
  </w:num>
  <w:num w:numId="18">
    <w:abstractNumId w:val="24"/>
  </w:num>
  <w:num w:numId="19">
    <w:abstractNumId w:val="10"/>
  </w:num>
  <w:num w:numId="20">
    <w:abstractNumId w:val="19"/>
  </w:num>
  <w:num w:numId="21">
    <w:abstractNumId w:val="9"/>
  </w:num>
  <w:num w:numId="22">
    <w:abstractNumId w:val="6"/>
  </w:num>
  <w:num w:numId="23">
    <w:abstractNumId w:val="22"/>
  </w:num>
  <w:num w:numId="24">
    <w:abstractNumId w:val="7"/>
  </w:num>
  <w:num w:numId="25">
    <w:abstractNumId w:val="34"/>
  </w:num>
  <w:num w:numId="26">
    <w:abstractNumId w:val="21"/>
  </w:num>
  <w:num w:numId="27">
    <w:abstractNumId w:val="4"/>
  </w:num>
  <w:num w:numId="28">
    <w:abstractNumId w:val="0"/>
  </w:num>
  <w:num w:numId="29">
    <w:abstractNumId w:val="11"/>
  </w:num>
  <w:num w:numId="30">
    <w:abstractNumId w:val="15"/>
  </w:num>
  <w:num w:numId="31">
    <w:abstractNumId w:val="2"/>
  </w:num>
  <w:num w:numId="32">
    <w:abstractNumId w:val="30"/>
  </w:num>
  <w:num w:numId="33">
    <w:abstractNumId w:val="1"/>
  </w:num>
  <w:num w:numId="34">
    <w:abstractNumId w:val="37"/>
  </w:num>
  <w:num w:numId="35">
    <w:abstractNumId w:val="5"/>
  </w:num>
  <w:num w:numId="36">
    <w:abstractNumId w:val="3"/>
  </w:num>
  <w:num w:numId="37">
    <w:abstractNumId w:val="12"/>
  </w:num>
  <w:num w:numId="38">
    <w:abstractNumId w:val="32"/>
  </w:num>
  <w:num w:numId="39">
    <w:abstractNumId w:val="29"/>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vpB0Mxen3tUoe1URLfFIqbeblntWCaf3gHu3sRB2kOwlzm++Pdm6daoyBqOfZjWxJkTFykWf1Z13IAAMre8Xw==" w:salt="AL8doOCRnjIdhyo4wynCmA=="/>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2DCA"/>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A98"/>
    <w:rsid w:val="0023207D"/>
    <w:rsid w:val="0023216E"/>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42AD"/>
    <w:rsid w:val="003C5AED"/>
    <w:rsid w:val="003D4434"/>
    <w:rsid w:val="003D454F"/>
    <w:rsid w:val="003D7A8B"/>
    <w:rsid w:val="003D7E28"/>
    <w:rsid w:val="003E1797"/>
    <w:rsid w:val="003E1B1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8C7"/>
    <w:rsid w:val="00511BFD"/>
    <w:rsid w:val="00513673"/>
    <w:rsid w:val="00514A08"/>
    <w:rsid w:val="00514E8F"/>
    <w:rsid w:val="00514E9E"/>
    <w:rsid w:val="00516F92"/>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3324"/>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1401"/>
    <w:rsid w:val="005A14D0"/>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904"/>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6399"/>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D6F"/>
    <w:rsid w:val="006E6E7F"/>
    <w:rsid w:val="006F220C"/>
    <w:rsid w:val="006F60D7"/>
    <w:rsid w:val="006F7E98"/>
    <w:rsid w:val="0070034F"/>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45F68"/>
    <w:rsid w:val="00750410"/>
    <w:rsid w:val="007532D9"/>
    <w:rsid w:val="0075356F"/>
    <w:rsid w:val="00755EBA"/>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40C3"/>
    <w:rsid w:val="00824B74"/>
    <w:rsid w:val="00825810"/>
    <w:rsid w:val="0082604E"/>
    <w:rsid w:val="00826664"/>
    <w:rsid w:val="00830982"/>
    <w:rsid w:val="0083224F"/>
    <w:rsid w:val="00833FE6"/>
    <w:rsid w:val="008343BD"/>
    <w:rsid w:val="00834F00"/>
    <w:rsid w:val="0083582C"/>
    <w:rsid w:val="00835E7E"/>
    <w:rsid w:val="00836101"/>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51B2"/>
    <w:rsid w:val="00A10E5A"/>
    <w:rsid w:val="00A11190"/>
    <w:rsid w:val="00A11F6F"/>
    <w:rsid w:val="00A137BE"/>
    <w:rsid w:val="00A1398C"/>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B00BCC"/>
    <w:rsid w:val="00B00F6C"/>
    <w:rsid w:val="00B01090"/>
    <w:rsid w:val="00B0167A"/>
    <w:rsid w:val="00B02A78"/>
    <w:rsid w:val="00B02D41"/>
    <w:rsid w:val="00B03FCB"/>
    <w:rsid w:val="00B04224"/>
    <w:rsid w:val="00B05F8A"/>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256A"/>
    <w:rsid w:val="00E336F4"/>
    <w:rsid w:val="00E34833"/>
    <w:rsid w:val="00E34AAF"/>
    <w:rsid w:val="00E34B36"/>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3AA0"/>
    <w:rsid w:val="00F64630"/>
    <w:rsid w:val="00F65352"/>
    <w:rsid w:val="00F65FC7"/>
    <w:rsid w:val="00F67155"/>
    <w:rsid w:val="00F67408"/>
    <w:rsid w:val="00F67C6B"/>
    <w:rsid w:val="00F7004F"/>
    <w:rsid w:val="00F7102A"/>
    <w:rsid w:val="00F7144F"/>
    <w:rsid w:val="00F72F46"/>
    <w:rsid w:val="00F7480C"/>
    <w:rsid w:val="00F760AC"/>
    <w:rsid w:val="00F769CE"/>
    <w:rsid w:val="00F773E5"/>
    <w:rsid w:val="00F801A1"/>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semiHidden/>
    <w:rsid w:val="00704679"/>
  </w:style>
  <w:style w:type="character" w:styleId="Funotenzeichen">
    <w:name w:val="footnote reference"/>
    <w:basedOn w:val="Absatz-Standardschriftart"/>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D2AE8-E1BB-4F1A-A9C1-34BD82482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de Boor, Susanne</cp:lastModifiedBy>
  <cp:revision>3</cp:revision>
  <cp:lastPrinted>2020-05-14T11:04:00Z</cp:lastPrinted>
  <dcterms:created xsi:type="dcterms:W3CDTF">2022-02-23T13:21:00Z</dcterms:created>
  <dcterms:modified xsi:type="dcterms:W3CDTF">2022-02-23T13:53:00Z</dcterms:modified>
</cp:coreProperties>
</file>