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268"/>
        <w:gridCol w:w="2694"/>
      </w:tblGrid>
      <w:tr w:rsidR="008F7E7D" w:rsidTr="00F45D2D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3 zum Vertrag nach </w:t>
            </w:r>
            <w:r w:rsidR="00645B30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 xml:space="preserve">-UZ </w:t>
            </w:r>
            <w:r w:rsidRPr="000F53F0">
              <w:rPr>
                <w:b/>
                <w:sz w:val="24"/>
              </w:rPr>
              <w:t>84</w:t>
            </w:r>
            <w:r w:rsidR="00F45D2D" w:rsidRPr="000F53F0">
              <w:rPr>
                <w:b/>
                <w:sz w:val="24"/>
              </w:rPr>
              <w:t>b</w:t>
            </w:r>
          </w:p>
          <w:p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 w:rsidRPr="000F53F0">
              <w:rPr>
                <w:b/>
                <w:sz w:val="24"/>
              </w:rPr>
              <w:t xml:space="preserve">Umweltzeichen für </w:t>
            </w:r>
            <w:r w:rsidRPr="000F53F0">
              <w:rPr>
                <w:b/>
                <w:sz w:val="24"/>
              </w:rPr>
              <w:br/>
              <w:t>„</w:t>
            </w:r>
            <w:r w:rsidRPr="000F53F0">
              <w:rPr>
                <w:rFonts w:cs="Arial"/>
                <w:b/>
                <w:szCs w:val="22"/>
              </w:rPr>
              <w:t>Kläranlagenverträgliche</w:t>
            </w:r>
            <w:r w:rsidRPr="000F53F0">
              <w:rPr>
                <w:b/>
                <w:sz w:val="24"/>
              </w:rPr>
              <w:t xml:space="preserve"> S</w:t>
            </w:r>
            <w:r w:rsidR="00F45D2D" w:rsidRPr="000F53F0">
              <w:rPr>
                <w:b/>
                <w:sz w:val="24"/>
              </w:rPr>
              <w:t>pülwasser</w:t>
            </w:r>
            <w:r w:rsidRPr="000F53F0">
              <w:rPr>
                <w:b/>
                <w:sz w:val="24"/>
              </w:rPr>
              <w:t>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F7E7D" w:rsidRDefault="008F7E7D" w:rsidP="008F7E7D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:rsidR="008F7E7D" w:rsidRDefault="008F7E7D" w:rsidP="008F7E7D">
            <w:pPr>
              <w:tabs>
                <w:tab w:val="left" w:pos="5670"/>
              </w:tabs>
              <w:jc w:val="center"/>
            </w:pPr>
          </w:p>
          <w:p w:rsidR="008F7E7D" w:rsidRDefault="008F7E7D" w:rsidP="008F7E7D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 xml:space="preserve">diesen </w:t>
            </w:r>
            <w:proofErr w:type="gramStart"/>
            <w:r>
              <w:rPr>
                <w:b/>
                <w:sz w:val="24"/>
              </w:rPr>
              <w:t>Vordruck !</w:t>
            </w:r>
            <w:proofErr w:type="gramEnd"/>
          </w:p>
          <w:p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rPr>
          <w:b/>
        </w:rPr>
      </w:pPr>
      <w:r>
        <w:rPr>
          <w:b/>
        </w:rPr>
        <w:t xml:space="preserve">Erklärung des </w:t>
      </w:r>
      <w:r w:rsidR="00B950C4">
        <w:rPr>
          <w:b/>
        </w:rPr>
        <w:t>Antrag</w:t>
      </w:r>
      <w:r>
        <w:rPr>
          <w:b/>
        </w:rPr>
        <w:t>stellers nach Abschnitt 3.</w:t>
      </w:r>
      <w:r w:rsidR="00EC315B">
        <w:rPr>
          <w:b/>
        </w:rPr>
        <w:t>4</w:t>
      </w:r>
      <w:r>
        <w:rPr>
          <w:b/>
        </w:rPr>
        <w:t xml:space="preserve">, </w:t>
      </w:r>
      <w:r>
        <w:rPr>
          <w:b/>
        </w:rPr>
        <w:br/>
        <w:t>Anforderungen an</w:t>
      </w:r>
      <w:r w:rsidR="00B950C4">
        <w:rPr>
          <w:b/>
        </w:rPr>
        <w:t xml:space="preserve"> die</w:t>
      </w:r>
      <w:r>
        <w:rPr>
          <w:b/>
        </w:rPr>
        <w:t xml:space="preserve"> </w:t>
      </w:r>
      <w:r w:rsidR="00B950C4">
        <w:rPr>
          <w:b/>
        </w:rPr>
        <w:t>eingesetzten Stoffe</w:t>
      </w:r>
    </w:p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Default="008F7E7D" w:rsidP="008F7E7D">
      <w:pPr>
        <w:ind w:left="6804" w:hanging="6804"/>
        <w:jc w:val="both"/>
      </w:pPr>
    </w:p>
    <w:p w:rsidR="00B950C4" w:rsidRDefault="008F7E7D" w:rsidP="008F7E7D">
      <w:pPr>
        <w:spacing w:line="360" w:lineRule="auto"/>
        <w:jc w:val="both"/>
      </w:pPr>
      <w:r>
        <w:t xml:space="preserve">Hiermit erklären wir, </w:t>
      </w:r>
      <w:r w:rsidR="00EC315B">
        <w:t>dass für das</w:t>
      </w:r>
      <w:r>
        <w:t xml:space="preserve"> Produkt </w:t>
      </w:r>
      <w:r w:rsidR="00EC315B">
        <w:t>keine der folgenden Stoffe eingesetzt werden</w:t>
      </w:r>
      <w:r w:rsidR="00B950C4">
        <w:t>:</w:t>
      </w: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Pr="00847D87" w:rsidRDefault="00AD562E" w:rsidP="00AD562E">
      <w:pPr>
        <w:pStyle w:val="AufzhlungBuchstabe"/>
        <w:rPr>
          <w:lang w:val="en-GB"/>
        </w:rPr>
      </w:pPr>
      <w:bookmarkStart w:id="0" w:name="_Hlk51243281"/>
      <w:r w:rsidRPr="00847D87">
        <w:rPr>
          <w:lang w:val="en-GB"/>
        </w:rPr>
        <w:t>Besonders besorgniserregende Stoffe (substances of very high concern, SVHC)</w:t>
      </w:r>
    </w:p>
    <w:bookmarkEnd w:id="0"/>
    <w:p w:rsidR="00AD562E" w:rsidRDefault="00AD562E" w:rsidP="00AD562E">
      <w:pPr>
        <w:pStyle w:val="Standardeingercktum0"/>
      </w:pPr>
      <w:r w:rsidRPr="0099243F">
        <w:t xml:space="preserve">Stoffe, die unter der </w:t>
      </w:r>
      <w:bookmarkStart w:id="1" w:name="_Hlk55385308"/>
      <w:r>
        <w:t>REACH-V</w:t>
      </w:r>
      <w:r w:rsidRPr="0099243F">
        <w:t>erordnung (EG</w:t>
      </w:r>
      <w:r>
        <w:t xml:space="preserve">) Nr. </w:t>
      </w:r>
      <w:r w:rsidRPr="0099243F">
        <w:t xml:space="preserve">1907/2006 </w:t>
      </w:r>
      <w:bookmarkEnd w:id="1"/>
      <w:r w:rsidRPr="0099243F">
        <w:t>als besonders besorgniserregend identifiziert und in die gemäß REACH Artikel 59 Absatz 1 erstellte Liste (sogenannte „Kandidatenliste“) aufgenommen wurden.</w:t>
      </w:r>
      <w:r w:rsidRPr="0099243F">
        <w:rPr>
          <w:rStyle w:val="Funotenzeichen"/>
        </w:rPr>
        <w:footnoteReference w:id="1"/>
      </w:r>
      <w:r w:rsidRPr="0099243F">
        <w:t xml:space="preserve"> </w:t>
      </w:r>
      <w:bookmarkStart w:id="2" w:name="_Hlk40364058"/>
      <w:r w:rsidRPr="0099243F">
        <w:t>Ist der Stoff Bestandteil eines Gemisches, so darf seine Konzentration 0,1</w:t>
      </w:r>
      <w:r>
        <w:t>0 Gew.-</w:t>
      </w:r>
      <w:r w:rsidRPr="0099243F">
        <w:t>% nicht überschreiten</w:t>
      </w:r>
      <w:bookmarkEnd w:id="2"/>
      <w:r w:rsidRPr="0099243F">
        <w:t xml:space="preserve">. Liegt nach den Kriterien der </w:t>
      </w:r>
      <w:bookmarkStart w:id="3" w:name="_Hlk55385345"/>
      <w:r>
        <w:t>CLP</w:t>
      </w:r>
      <w:r w:rsidRPr="0099243F">
        <w:t>-Verordnung (EG</w:t>
      </w:r>
      <w:r>
        <w:t xml:space="preserve">) Nr. </w:t>
      </w:r>
      <w:r w:rsidRPr="0099243F">
        <w:t xml:space="preserve">1272/2008 </w:t>
      </w:r>
      <w:bookmarkEnd w:id="3"/>
      <w:r w:rsidRPr="0099243F">
        <w:t>ein strengerer, spezifischer Konzentrationsgrenzwert für einen Stoff in einem Gemisch vor, so gilt dieser.</w:t>
      </w:r>
      <w:r>
        <w:t xml:space="preserve"> </w:t>
      </w:r>
      <w:bookmarkStart w:id="4" w:name="_Hlk51243319"/>
      <w:r w:rsidRPr="00FC6C54">
        <w:t>Der Zeichennehmer ist verpflichtet,</w:t>
      </w:r>
      <w:r>
        <w:t xml:space="preserve"> </w:t>
      </w:r>
      <w:r w:rsidRPr="00FC6C54">
        <w:t>aktuelle Entwicklungen der Kandidatenliste zu berücksichtigen.</w:t>
      </w:r>
      <w:bookmarkEnd w:id="4"/>
    </w:p>
    <w:p w:rsidR="00AD562E" w:rsidRDefault="00AD562E" w:rsidP="00AD562E">
      <w:pPr>
        <w:pStyle w:val="Standardeingercktum0"/>
        <w:ind w:left="0"/>
      </w:pPr>
    </w:p>
    <w:p w:rsidR="00AD562E" w:rsidRDefault="00AD562E" w:rsidP="00AD562E">
      <w:pPr>
        <w:pStyle w:val="AufzhlungBuchstabe"/>
      </w:pPr>
      <w:r>
        <w:t>S</w:t>
      </w:r>
      <w:r w:rsidRPr="00631771">
        <w:t>toffe, die gemäß den Kriterien der CLP-Verordnung (EG) Nr. 1272/2008 mit den in der folgenden Tabelle genannten H-Sätzen eingestuft sind oder die, die Kriterien für eine solche Einstufung erfüllen. Ist der Stoff Bestandteil eines Gemisches, so darf seine Konzentration die allgemeinen Berücksichtigungsgrenzwerte nach der CLP-Verordnung (EG) Nr. 1272/2008 nicht überschreiten. Liegt ein strengerer, spezifischer Konzentrationsgrenzwert für einen Stoff in einem Gemisch vor, so gilt dieser.</w:t>
      </w:r>
    </w:p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pPr>
        <w:pStyle w:val="Standardklein"/>
      </w:pPr>
      <w:r>
        <w:t xml:space="preserve">Tabelle </w:t>
      </w:r>
      <w:r w:rsidR="00247413">
        <w:fldChar w:fldCharType="begin"/>
      </w:r>
      <w:r w:rsidR="00247413">
        <w:instrText xml:space="preserve"> SEQ Tabelle \* ARABIC </w:instrText>
      </w:r>
      <w:r w:rsidR="00247413">
        <w:fldChar w:fldCharType="separate"/>
      </w:r>
      <w:r>
        <w:rPr>
          <w:noProof/>
        </w:rPr>
        <w:t>1</w:t>
      </w:r>
      <w:r w:rsidR="00247413">
        <w:rPr>
          <w:noProof/>
        </w:rPr>
        <w:fldChar w:fldCharType="end"/>
      </w:r>
      <w:r>
        <w:t>: Tabelle zum Ausschluss von Inhaltsstoffen nach Abschnitt 3.4b</w:t>
      </w: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2072"/>
        <w:gridCol w:w="7132"/>
      </w:tblGrid>
      <w:tr w:rsidR="00AD562E" w:rsidTr="00770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2" w:type="dxa"/>
          </w:tcPr>
          <w:p w:rsidR="00AD562E" w:rsidRPr="009A2D6E" w:rsidRDefault="00AD562E" w:rsidP="00770BDE">
            <w:pPr>
              <w:pStyle w:val="Tabellentextfettkleinlinksbndig"/>
            </w:pPr>
            <w:r w:rsidRPr="00FC6C54">
              <w:t xml:space="preserve">Verordnung (EG) Nr. 1272/2008 </w:t>
            </w:r>
          </w:p>
          <w:p w:rsidR="00AD562E" w:rsidRPr="009A2D6E" w:rsidRDefault="00AD562E" w:rsidP="00770BDE">
            <w:pPr>
              <w:pStyle w:val="Tabellentextfettkleinlinksbndig"/>
            </w:pPr>
            <w:r w:rsidRPr="00FC6C54">
              <w:t>(CLP-Verordnung)</w:t>
            </w:r>
          </w:p>
        </w:tc>
        <w:tc>
          <w:tcPr>
            <w:tcW w:w="7506" w:type="dxa"/>
          </w:tcPr>
          <w:p w:rsidR="00AD562E" w:rsidRPr="009A2D6E" w:rsidRDefault="00AD562E" w:rsidP="00770BDE">
            <w:pPr>
              <w:pStyle w:val="Tabellentextfettkleinlinksbndig"/>
            </w:pPr>
            <w:r w:rsidRPr="00FC6C54">
              <w:t>Wortlaut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Default="00AD562E" w:rsidP="00770BDE">
            <w:pPr>
              <w:pStyle w:val="Tabellentextfettkleinlinksbndig"/>
            </w:pPr>
            <w:r w:rsidRPr="00FC6C54">
              <w:t>Toxische Stoffe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beim Verschlucken.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Verschlucken.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H304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Kann bei Verschlucken und Eindringen in die Atemwege tödlich sein. 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 Hautkontakt.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Hautkontakt.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H317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Kann allergische Hautreaktionen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H330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Lebensgefahr beim Einatmen.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H331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beim Einatmen.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lastRenderedPageBreak/>
              <w:t>H334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Kann beim Einatmen Allergie, asthmaartige Symptome oder Atembeschwerden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H370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proofErr w:type="gramStart"/>
            <w:r w:rsidRPr="00FC6C54">
              <w:t>Schädigt</w:t>
            </w:r>
            <w:proofErr w:type="gramEnd"/>
            <w:r w:rsidRPr="00FC6C54">
              <w:t xml:space="preserve"> die Organe.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H371 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Kann die Organe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H372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proofErr w:type="gramStart"/>
            <w:r w:rsidRPr="00FC6C54">
              <w:t>Schädigt</w:t>
            </w:r>
            <w:proofErr w:type="gramEnd"/>
            <w:r w:rsidRPr="00FC6C54">
              <w:t xml:space="preserve"> die Organe bei längerer und wiederholter Exposition.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H373 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 xml:space="preserve">Kann die Organe schädigen bei </w:t>
            </w:r>
            <w:r w:rsidRPr="00BA4725">
              <w:t>längerer oder wiederholter Exposition.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EUH029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Wasser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EUH031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Säure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EUH032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Entwickelt bei Berührung mit Säure sehr giftige Gase.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EUH066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Wiederholter Kontakt kann zu spröder oder rissiger Haut führen.</w:t>
            </w:r>
          </w:p>
        </w:tc>
      </w:tr>
      <w:tr w:rsidR="00AD562E" w:rsidTr="00770BDE">
        <w:tc>
          <w:tcPr>
            <w:tcW w:w="2122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EUH070</w:t>
            </w:r>
          </w:p>
        </w:tc>
        <w:tc>
          <w:tcPr>
            <w:tcW w:w="7506" w:type="dxa"/>
          </w:tcPr>
          <w:p w:rsidR="00AD562E" w:rsidRPr="00BA4725" w:rsidRDefault="00AD562E" w:rsidP="00770BDE">
            <w:pPr>
              <w:pStyle w:val="Tabellentextstandardkleinlinksbndig"/>
            </w:pPr>
            <w:r w:rsidRPr="00FC6C54">
              <w:t>Giftig bei Berührung mit den Augen.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Krebserzeugende, erbgutverändernde und fortpflanzungsgefährdende Stoffe</w:t>
            </w:r>
          </w:p>
        </w:tc>
      </w:tr>
      <w:tr w:rsidR="00AD562E" w:rsidTr="0032235E">
        <w:trPr>
          <w:trHeight w:val="42"/>
        </w:trPr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H340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genetische Defekte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H341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genetische Defekte verursachen.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H350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H350i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bei Einatmen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H351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Krebs erzeugen.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die Fruchtbarkeit beeinträchtigen.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das Kind </w:t>
            </w:r>
            <w:r w:rsidRPr="006D249B">
              <w:t>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die Fruchtbarkeit beeinträchtigen. 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H360Df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 xml:space="preserve">Kann das Kind im Mutterleib schädigen. 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H361f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H361fd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die Fruchtbarkeit beeinträchtigen.</w:t>
            </w:r>
          </w:p>
          <w:p w:rsidR="00AD562E" w:rsidRPr="006D249B" w:rsidRDefault="00AD562E" w:rsidP="00770BDE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AD562E" w:rsidTr="00770BDE">
        <w:tc>
          <w:tcPr>
            <w:tcW w:w="2122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H362</w:t>
            </w:r>
          </w:p>
        </w:tc>
        <w:tc>
          <w:tcPr>
            <w:tcW w:w="7506" w:type="dxa"/>
          </w:tcPr>
          <w:p w:rsidR="00AD562E" w:rsidRPr="006D249B" w:rsidRDefault="00AD562E" w:rsidP="00770BDE">
            <w:pPr>
              <w:pStyle w:val="Tabellentextstandardkleinlinksbndig"/>
            </w:pPr>
            <w:r w:rsidRPr="00FC6C54">
              <w:t>Kann Säuglinge über die Muttermilch schädigen.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Gewässergefährdende Stoffe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H410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Sehr giftig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H411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Giftig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H412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Schädlich für Wasserorganismen mit langfristiger Wirkung.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H413</w:t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 xml:space="preserve">Kann für Wasserorganismen </w:t>
            </w:r>
            <w:r w:rsidRPr="00DE229B">
              <w:t>schädlich sein mit langfristiger Wirkung.</w:t>
            </w:r>
          </w:p>
        </w:tc>
      </w:tr>
      <w:tr w:rsidR="00AD562E" w:rsidTr="00770BDE">
        <w:tc>
          <w:tcPr>
            <w:tcW w:w="9628" w:type="dxa"/>
            <w:gridSpan w:val="2"/>
          </w:tcPr>
          <w:p w:rsidR="00AD562E" w:rsidRPr="00FC6C54" w:rsidRDefault="00AD562E" w:rsidP="00770BDE">
            <w:pPr>
              <w:pStyle w:val="Tabellentextfettkleinlinksbndig"/>
            </w:pPr>
            <w:r w:rsidRPr="00FC6C54">
              <w:t>Sonstige Gesundheits- oder Umweltwirkungen</w:t>
            </w:r>
          </w:p>
        </w:tc>
      </w:tr>
      <w:tr w:rsidR="00AD562E" w:rsidTr="00770BDE">
        <w:tc>
          <w:tcPr>
            <w:tcW w:w="2122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H420</w:t>
            </w:r>
            <w:r w:rsidRPr="00DE229B">
              <w:rPr>
                <w:rStyle w:val="Funotenzeichen"/>
              </w:rPr>
              <w:footnoteReference w:id="2"/>
            </w:r>
          </w:p>
        </w:tc>
        <w:tc>
          <w:tcPr>
            <w:tcW w:w="7506" w:type="dxa"/>
          </w:tcPr>
          <w:p w:rsidR="00AD562E" w:rsidRPr="00DE229B" w:rsidRDefault="00AD562E" w:rsidP="00770BDE">
            <w:pPr>
              <w:pStyle w:val="Tabellentextstandardkleinlinksbndig"/>
            </w:pPr>
            <w:r w:rsidRPr="00FC6C54">
              <w:t>Die Ozonschicht schädigend.</w:t>
            </w:r>
          </w:p>
        </w:tc>
      </w:tr>
    </w:tbl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r w:rsidRPr="000D18F2">
        <w:t>Das Kriterium gilt nicht für Stoffe oder Gemische, deren Eigenschaften sich bei</w:t>
      </w:r>
      <w:r w:rsidRPr="00B62A2C">
        <w:t>m Gebrauch so ändern (Wegfall der Bioverfügbarkeit, chemische Veränderung), dass die betreffende Gefahr entfällt.</w:t>
      </w:r>
    </w:p>
    <w:p w:rsidR="00AD562E" w:rsidRDefault="00AD562E" w:rsidP="00AD562E"/>
    <w:p w:rsidR="00AD562E" w:rsidRDefault="00AD562E" w:rsidP="00AD562E">
      <w:pPr>
        <w:pStyle w:val="AufzhlungBuchstabe"/>
      </w:pPr>
      <w:r w:rsidRPr="000C17BA">
        <w:t xml:space="preserve">Stoffe mit gefährlichen Eigenschaften in Konzentrationen, die zu einer Einstufung und Kennzeichnung des </w:t>
      </w:r>
      <w:r>
        <w:t>Endproduktes</w:t>
      </w:r>
      <w:r w:rsidRPr="000C17BA">
        <w:t xml:space="preserve"> mit einem </w:t>
      </w:r>
      <w:r>
        <w:t xml:space="preserve">der folgenden </w:t>
      </w:r>
      <w:r w:rsidRPr="000C17BA">
        <w:t>GHS-Gefahrenpiktogramm</w:t>
      </w:r>
      <w:r>
        <w:t>e</w:t>
      </w:r>
      <w:r w:rsidRPr="000C17BA">
        <w:t xml:space="preserve"> </w:t>
      </w:r>
      <w:r w:rsidRPr="000C17BA">
        <w:lastRenderedPageBreak/>
        <w:t>für Gesundheits- und Umweltgefahren führen</w:t>
      </w:r>
      <w:r>
        <w:t xml:space="preserve">: GHS05 </w:t>
      </w:r>
      <w:bookmarkStart w:id="6" w:name="_Hlk51857061"/>
      <w:r>
        <w:t>(ätzend), GHS06 (giftig), GHS07 (reizend), GHS08 (gesundheitsschädlich) und GHS09 (umweltgefährlich</w:t>
      </w:r>
      <w:bookmarkEnd w:id="6"/>
      <w:r>
        <w:t>)</w:t>
      </w:r>
      <w:r w:rsidRPr="000C17BA">
        <w:t>.</w:t>
      </w:r>
    </w:p>
    <w:p w:rsidR="00AD562E" w:rsidRDefault="00AD562E" w:rsidP="00AD562E">
      <w:pPr>
        <w:pStyle w:val="AufzhlungBuchstabe"/>
        <w:numPr>
          <w:ilvl w:val="0"/>
          <w:numId w:val="0"/>
        </w:numPr>
      </w:pPr>
    </w:p>
    <w:p w:rsidR="00AD562E" w:rsidRDefault="00AD562E" w:rsidP="00AD562E">
      <w:pPr>
        <w:pStyle w:val="AufzhlungBuchstabe"/>
      </w:pPr>
      <w:r w:rsidRPr="00B62A2C">
        <w:t>Von den Regelungen a) und b) ausgenommen sind:</w:t>
      </w:r>
    </w:p>
    <w:p w:rsidR="00AD562E" w:rsidRPr="00B62A2C" w:rsidRDefault="00AD562E" w:rsidP="00AD562E">
      <w:pPr>
        <w:pStyle w:val="AufzhlungPunkt2"/>
      </w:pPr>
      <w:r w:rsidRPr="00B62A2C">
        <w:t xml:space="preserve">Verunreinigungen in Konzentrationen, die nicht im Sicherheitsdatenblatt angegeben werden. Die im Sicherheitsdatenblatt anzugebenen Bestandteile müssen den Vorgaben der REACH-Verordnung (EG) Nr. 1907/2006 geändert </w:t>
      </w:r>
      <w:bookmarkStart w:id="7" w:name="_Hlk38537214"/>
      <w:r w:rsidRPr="00B62A2C">
        <w:t xml:space="preserve">durch </w:t>
      </w:r>
      <w:bookmarkStart w:id="8" w:name="_Hlk55385641"/>
      <w:r w:rsidRPr="00B62A2C">
        <w:t>Verordnung (EU) 2015/830</w:t>
      </w:r>
      <w:bookmarkEnd w:id="7"/>
      <w:r w:rsidRPr="00B62A2C">
        <w:t xml:space="preserve"> </w:t>
      </w:r>
      <w:bookmarkEnd w:id="8"/>
      <w:r w:rsidRPr="00B62A2C">
        <w:t>entsprechen. Ist der Stoff demnach Bestandteil eines Gemisches, so darf seine Konzentration die allgemeinen Berücksichtigungsgrenzwerte der CLP-Verordnung (EG) Nr. 1272/2008 nicht über</w:t>
      </w:r>
      <w:r w:rsidRPr="00B62A2C">
        <w:softHyphen/>
        <w:t xml:space="preserve">schreiten. Liegt ein strengerer, spezifischer Konzentrationsgrenzwert für einen Stoff in einem Gemisch vor, so gilt dieser. </w:t>
      </w:r>
    </w:p>
    <w:p w:rsidR="00AD562E" w:rsidRDefault="00AD562E" w:rsidP="00AD562E">
      <w:pPr>
        <w:pStyle w:val="AufzhlungPunkt2"/>
      </w:pPr>
      <w:r w:rsidRPr="00B62A2C">
        <w:t xml:space="preserve">Substanzen, die als Lebensmittelzusatzstoffe in Europa zugelassen sind (z.B. Zitronensäure) </w:t>
      </w:r>
    </w:p>
    <w:p w:rsidR="008F7E7D" w:rsidRPr="00AD562E" w:rsidRDefault="00AD562E" w:rsidP="00AD562E">
      <w:pPr>
        <w:pStyle w:val="AufzhlungPunkt2"/>
      </w:pPr>
      <w:r w:rsidRPr="00B62A2C">
        <w:t>Duftstoffe wie unter 3.6 geregelt (z.B. Lavendelöl)</w:t>
      </w: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EC315B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9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10" w:name="_GoBack"/>
      <w:bookmarkEnd w:id="10"/>
      <w:r w:rsidR="00247413">
        <w:rPr>
          <w:rFonts w:cs="Arial"/>
          <w:szCs w:val="22"/>
        </w:rPr>
        <w:t> </w:t>
      </w:r>
      <w:r w:rsidR="00247413">
        <w:rPr>
          <w:rFonts w:cs="Arial"/>
          <w:szCs w:val="22"/>
        </w:rPr>
        <w:t> </w:t>
      </w:r>
      <w:r w:rsidR="00247413">
        <w:rPr>
          <w:rFonts w:cs="Arial"/>
          <w:szCs w:val="22"/>
        </w:rPr>
        <w:t> </w:t>
      </w:r>
      <w:r w:rsidR="00247413">
        <w:rPr>
          <w:rFonts w:cs="Arial"/>
          <w:szCs w:val="22"/>
        </w:rPr>
        <w:t> </w:t>
      </w:r>
      <w:r w:rsidR="00247413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9"/>
      <w:r>
        <w:rPr>
          <w:rFonts w:cs="Arial"/>
          <w:szCs w:val="22"/>
        </w:rPr>
        <w:tab/>
      </w:r>
    </w:p>
    <w:p w:rsidR="00EC315B" w:rsidRDefault="008F7E7D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1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1"/>
      <w:r>
        <w:rPr>
          <w:rFonts w:cs="Arial"/>
          <w:szCs w:val="22"/>
        </w:rPr>
        <w:tab/>
      </w:r>
      <w:r w:rsidR="00EC315B">
        <w:rPr>
          <w:rFonts w:cs="Arial"/>
          <w:szCs w:val="22"/>
        </w:rPr>
        <w:t>(rechtsverbindliche Unterschrift und</w:t>
      </w:r>
    </w:p>
    <w:p w:rsidR="008F7E7D" w:rsidRDefault="00EC315B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Firmenstempel)</w:t>
      </w:r>
    </w:p>
    <w:p w:rsidR="00EC315B" w:rsidRPr="008F7E7D" w:rsidRDefault="008F7E7D" w:rsidP="00EC315B">
      <w:pPr>
        <w:tabs>
          <w:tab w:val="left" w:pos="4820"/>
        </w:tabs>
        <w:ind w:right="-1"/>
      </w:pPr>
      <w:r>
        <w:rPr>
          <w:rFonts w:cs="Arial"/>
          <w:szCs w:val="22"/>
        </w:rPr>
        <w:tab/>
      </w:r>
    </w:p>
    <w:p w:rsidR="00D41A9A" w:rsidRPr="008F7E7D" w:rsidRDefault="00D41A9A" w:rsidP="008F7E7D">
      <w:pPr>
        <w:tabs>
          <w:tab w:val="left" w:pos="4820"/>
        </w:tabs>
      </w:pPr>
    </w:p>
    <w:sectPr w:rsidR="00D41A9A" w:rsidRPr="008F7E7D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4FE" w:rsidRDefault="007674FE">
      <w:r>
        <w:separator/>
      </w:r>
    </w:p>
  </w:endnote>
  <w:endnote w:type="continuationSeparator" w:id="0">
    <w:p w:rsidR="007674FE" w:rsidRDefault="0076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BB1A66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2A5A06">
      <w:rPr>
        <w:rFonts w:cs="Arial"/>
        <w:szCs w:val="22"/>
      </w:rPr>
      <w:fldChar w:fldCharType="begin"/>
    </w:r>
    <w:r w:rsidR="002A5A06">
      <w:rPr>
        <w:rFonts w:cs="Arial"/>
        <w:szCs w:val="22"/>
      </w:rPr>
      <w:instrText xml:space="preserve"> NUMPAGES  \* Arabic  \* MERGEFORMAT </w:instrText>
    </w:r>
    <w:r w:rsidR="002A5A06">
      <w:rPr>
        <w:rFonts w:cs="Arial"/>
        <w:szCs w:val="22"/>
      </w:rPr>
      <w:fldChar w:fldCharType="separate"/>
    </w:r>
    <w:r w:rsidR="00BB1A66">
      <w:rPr>
        <w:rFonts w:cs="Arial"/>
        <w:noProof/>
        <w:szCs w:val="22"/>
      </w:rPr>
      <w:t>4</w:t>
    </w:r>
    <w:r w:rsidR="002A5A06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645B30">
      <w:rPr>
        <w:rFonts w:cs="Arial"/>
        <w:szCs w:val="22"/>
      </w:rPr>
      <w:t>DE-</w:t>
    </w:r>
    <w:r w:rsidRPr="000E4C21">
      <w:rPr>
        <w:rFonts w:cs="Arial"/>
        <w:szCs w:val="22"/>
      </w:rPr>
      <w:t>UZ 84</w:t>
    </w:r>
    <w:r w:rsidR="00F45D2D" w:rsidRPr="000F53F0">
      <w:rPr>
        <w:rFonts w:cs="Arial"/>
        <w:szCs w:val="22"/>
      </w:rPr>
      <w:t>b</w:t>
    </w:r>
    <w:r w:rsidRPr="000E4C21">
      <w:rPr>
        <w:rFonts w:cs="Arial"/>
        <w:szCs w:val="22"/>
      </w:rPr>
      <w:t xml:space="preserve"> Ausgabe </w:t>
    </w:r>
    <w:r w:rsidR="00EC315B">
      <w:rPr>
        <w:rStyle w:val="Seitenzahl"/>
        <w:rFonts w:cs="Arial"/>
        <w:szCs w:val="22"/>
      </w:rPr>
      <w:t>Januar</w:t>
    </w:r>
    <w:r w:rsidR="00B950C4">
      <w:rPr>
        <w:rStyle w:val="Seitenzahl"/>
        <w:rFonts w:cs="Arial"/>
        <w:szCs w:val="22"/>
      </w:rPr>
      <w:t xml:space="preserve"> 20</w:t>
    </w:r>
    <w:r w:rsidR="00EC315B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4FE" w:rsidRDefault="007674FE">
      <w:r>
        <w:separator/>
      </w:r>
    </w:p>
  </w:footnote>
  <w:footnote w:type="continuationSeparator" w:id="0">
    <w:p w:rsidR="007674FE" w:rsidRDefault="007674FE">
      <w:r>
        <w:continuationSeparator/>
      </w:r>
    </w:p>
  </w:footnote>
  <w:footnote w:id="1">
    <w:p w:rsidR="00AD562E" w:rsidRPr="0011497C" w:rsidRDefault="00AD562E" w:rsidP="00AD562E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BE1017">
        <w:t>Die Kandidatenliste in der jeweils aktuellen Fassung findet sich unter:</w:t>
      </w:r>
      <w:r>
        <w:tab/>
      </w:r>
      <w:r w:rsidRPr="0011497C">
        <w:t xml:space="preserve"> </w:t>
      </w:r>
      <w:r w:rsidRPr="00BE1017">
        <w:rPr>
          <w:rStyle w:val="Hyperlink"/>
        </w:rPr>
        <w:t>http://echa.europa.eu/chem_data/authorisation_process/candidate_list_table_en.asp</w:t>
      </w:r>
    </w:p>
  </w:footnote>
  <w:footnote w:id="2">
    <w:p w:rsidR="00AD562E" w:rsidRPr="00816F56" w:rsidRDefault="00AD562E" w:rsidP="00AD562E">
      <w:pPr>
        <w:pStyle w:val="Funotentext"/>
      </w:pPr>
      <w:r w:rsidRPr="002A4B3C">
        <w:rPr>
          <w:rStyle w:val="Funotenzeichen"/>
        </w:rPr>
        <w:footnoteRef/>
      </w:r>
      <w:r w:rsidRPr="00816F56">
        <w:t xml:space="preserve"> </w:t>
      </w:r>
      <w:bookmarkStart w:id="5" w:name="_Hlk55385658"/>
      <w:r>
        <w:tab/>
      </w:r>
      <w:r w:rsidRPr="002A4B3C">
        <w:t>Verordnung (EU) 286/2011 DER KOMMISSION vom 10. März 2011 zur Änderung der Verordnung (EG) Nr. 1272/2008</w:t>
      </w:r>
      <w:bookmarkEnd w:id="5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BB1A66" w:rsidP="000343BE">
    <w:pPr>
      <w:pStyle w:val="Kopfzeile"/>
      <w:jc w:val="right"/>
    </w:pPr>
    <w:r>
      <w:rPr>
        <w:noProof/>
      </w:rPr>
      <w:drawing>
        <wp:inline distT="0" distB="0" distL="0" distR="0">
          <wp:extent cx="905510" cy="629920"/>
          <wp:effectExtent l="0" t="0" r="889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DG/gd+wK+oMIXvbP8UxT1iji39E4CjZlmUsS5TnsOxumEKVsfbC38zZeaUp1rzYwhA92kjgw29F/wg9iLDmOw==" w:salt="jTrZ0aDijzWG9NwcBMTyX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53F0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47413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5A06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235E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1A44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5B30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4FE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8B6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32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62E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A5142"/>
    <w:rsid w:val="00BB05C8"/>
    <w:rsid w:val="00BB1A6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D7771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36A27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315B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5D2D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30194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AD562E"/>
    <w:pPr>
      <w:keepNext/>
      <w:numPr>
        <w:numId w:val="11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AD562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AD562E"/>
    <w:pPr>
      <w:keepNext/>
      <w:numPr>
        <w:ilvl w:val="2"/>
        <w:numId w:val="11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AD562E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AD562E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AD562E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AD562E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AD562E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AD562E"/>
    <w:pPr>
      <w:numPr>
        <w:numId w:val="10"/>
      </w:numPr>
      <w:overflowPunct/>
      <w:autoSpaceDE/>
      <w:autoSpaceDN/>
      <w:adjustRightInd/>
      <w:spacing w:line="288" w:lineRule="auto"/>
      <w:ind w:left="851" w:hanging="425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AD562E"/>
    <w:rPr>
      <w:rFonts w:ascii="Verdana" w:eastAsiaTheme="minorEastAsia" w:hAnsi="Verdana" w:cstheme="minorBidi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AD562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AD562E"/>
    <w:rPr>
      <w:rFonts w:ascii="Verdana" w:eastAsiaTheme="minorEastAsia" w:hAnsi="Verdana" w:cstheme="minorBidi"/>
      <w:sz w:val="16"/>
      <w:szCs w:val="16"/>
      <w:lang w:eastAsia="ja-JP"/>
    </w:rPr>
  </w:style>
  <w:style w:type="character" w:styleId="Hyperlink">
    <w:name w:val="Hyperlink"/>
    <w:basedOn w:val="Absatz-Standardschriftart"/>
    <w:uiPriority w:val="99"/>
    <w:qFormat/>
    <w:rsid w:val="00AD562E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AD562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AD562E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AD562E"/>
    <w:pPr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AD562E"/>
    <w:rPr>
      <w:rFonts w:ascii="Verdana" w:eastAsiaTheme="minorEastAsia" w:hAnsi="Verdana" w:cstheme="minorBidi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AD562E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AD562E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AD562E"/>
    <w:rPr>
      <w:rFonts w:ascii="Verdana" w:eastAsiaTheme="minorEastAsia" w:hAnsi="Verdana" w:cstheme="min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4</cp:revision>
  <cp:lastPrinted>2013-03-13T09:58:00Z</cp:lastPrinted>
  <dcterms:created xsi:type="dcterms:W3CDTF">2021-04-23T13:40:00Z</dcterms:created>
  <dcterms:modified xsi:type="dcterms:W3CDTF">2021-04-26T08:13:00Z</dcterms:modified>
</cp:coreProperties>
</file>