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2236"/>
        <w:tblOverlap w:val="never"/>
        <w:tblW w:w="10201" w:type="dxa"/>
        <w:tblLayout w:type="fixed"/>
        <w:tblCellMar>
          <w:left w:w="70" w:type="dxa"/>
          <w:right w:w="70" w:type="dxa"/>
        </w:tblCellMar>
        <w:tblLook w:val="0000" w:firstRow="0" w:lastRow="0" w:firstColumn="0" w:lastColumn="0" w:noHBand="0" w:noVBand="0"/>
      </w:tblPr>
      <w:tblGrid>
        <w:gridCol w:w="7083"/>
        <w:gridCol w:w="283"/>
        <w:gridCol w:w="2835"/>
      </w:tblGrid>
      <w:tr w:rsidR="00024631" w:rsidRPr="00311CF7" w:rsidTr="00024631">
        <w:tc>
          <w:tcPr>
            <w:tcW w:w="7083" w:type="dxa"/>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r w:rsidRPr="00311CF7">
              <w:rPr>
                <w:b/>
              </w:rPr>
              <w:t xml:space="preserve">Anlage </w:t>
            </w:r>
            <w:r w:rsidR="0072221A">
              <w:rPr>
                <w:b/>
              </w:rPr>
              <w:t>19</w:t>
            </w:r>
            <w:r>
              <w:rPr>
                <w:b/>
              </w:rPr>
              <w:t xml:space="preserve"> zum Vertrag nach DE</w:t>
            </w:r>
            <w:r w:rsidRPr="00311CF7">
              <w:rPr>
                <w:b/>
              </w:rPr>
              <w:t xml:space="preserve">-UZ </w:t>
            </w:r>
            <w:r>
              <w:rPr>
                <w:b/>
              </w:rPr>
              <w:t>208</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pBdr>
                <w:bottom w:val="single" w:sz="6" w:space="1" w:color="auto"/>
              </w:pBdr>
              <w:tabs>
                <w:tab w:val="clear" w:pos="284"/>
                <w:tab w:val="clear" w:pos="851"/>
                <w:tab w:val="clear" w:pos="3119"/>
                <w:tab w:val="clear" w:pos="3686"/>
                <w:tab w:val="clear" w:pos="6804"/>
                <w:tab w:val="clear" w:pos="7371"/>
                <w:tab w:val="left" w:pos="5670"/>
              </w:tabs>
              <w:rPr>
                <w:b/>
                <w:u w:val="single"/>
              </w:rPr>
            </w:pPr>
            <w:r w:rsidRPr="00311CF7">
              <w:rPr>
                <w:b/>
              </w:rPr>
              <w:t>Umweltzeichen für „</w:t>
            </w:r>
            <w:r w:rsidRPr="00C56F77">
              <w:rPr>
                <w:b/>
              </w:rPr>
              <w:t xml:space="preserve">Windeln, Damenhygiene- und </w:t>
            </w:r>
            <w:r>
              <w:rPr>
                <w:b/>
              </w:rPr>
              <w:t>I</w:t>
            </w:r>
            <w:r w:rsidRPr="00C56F77">
              <w:rPr>
                <w:b/>
              </w:rPr>
              <w:t>nkontinenzprodukte (Absorbierende Hygieneprodukte)</w:t>
            </w:r>
            <w:r w:rsidRPr="00311CF7">
              <w:rPr>
                <w:b/>
              </w:rPr>
              <w:t>“</w:t>
            </w:r>
          </w:p>
        </w:tc>
        <w:tc>
          <w:tcPr>
            <w:tcW w:w="283" w:type="dxa"/>
            <w:tcBorders>
              <w:right w:val="single" w:sz="4" w:space="0" w:color="auto"/>
            </w:tcBorders>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Bitte benutzen Sie</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 xml:space="preserve">diesen </w:t>
            </w:r>
            <w:proofErr w:type="gramStart"/>
            <w:r w:rsidRPr="00311CF7">
              <w:rPr>
                <w:b/>
              </w:rPr>
              <w:t>Vordruck !</w:t>
            </w:r>
            <w:proofErr w:type="gramEnd"/>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345A2C" w:rsidRDefault="00345A2C" w:rsidP="00345A2C">
      <w:pPr>
        <w:jc w:val="center"/>
        <w:rPr>
          <w:b/>
        </w:rPr>
      </w:pPr>
    </w:p>
    <w:p w:rsidR="00345A2C" w:rsidRDefault="00345A2C" w:rsidP="00345A2C">
      <w:pPr>
        <w:jc w:val="center"/>
        <w:rPr>
          <w:b/>
        </w:rPr>
      </w:pPr>
    </w:p>
    <w:p w:rsidR="00345A2C" w:rsidRDefault="00345A2C" w:rsidP="00345A2C">
      <w:pPr>
        <w:pStyle w:val="Standardklein"/>
      </w:pPr>
    </w:p>
    <w:p w:rsidR="000A4915" w:rsidRDefault="000A4915" w:rsidP="00346616">
      <w:pPr>
        <w:rPr>
          <w:b/>
        </w:rPr>
      </w:pPr>
      <w:r>
        <w:rPr>
          <w:b/>
        </w:rPr>
        <w:t>Erklärung des Farbstoffherstellers</w:t>
      </w:r>
    </w:p>
    <w:p w:rsidR="000A4915" w:rsidRDefault="000A4915" w:rsidP="000A4915">
      <w:pPr>
        <w:jc w:val="center"/>
      </w:pPr>
    </w:p>
    <w:p w:rsidR="000A4915" w:rsidRDefault="000A4915" w:rsidP="000A4915"/>
    <w:p w:rsidR="000A4915" w:rsidRDefault="000A4915" w:rsidP="000A4915">
      <w:pPr>
        <w:ind w:left="3969" w:hanging="3969"/>
      </w:pPr>
      <w:r>
        <w:t>Farbstoffhersteller:</w:t>
      </w:r>
      <w:r w:rsidR="0072221A">
        <w:t xml:space="preserve"> </w:t>
      </w:r>
      <w:r w:rsidR="0072221A">
        <w:fldChar w:fldCharType="begin">
          <w:ffData>
            <w:name w:val="Text23"/>
            <w:enabled/>
            <w:calcOnExit w:val="0"/>
            <w:textInput>
              <w:maxLength w:val="35"/>
            </w:textInput>
          </w:ffData>
        </w:fldChar>
      </w:r>
      <w:r w:rsidR="0072221A">
        <w:instrText xml:space="preserve"> FORMTEXT </w:instrText>
      </w:r>
      <w:r w:rsidR="0072221A">
        <w:fldChar w:fldCharType="separate"/>
      </w:r>
      <w:r w:rsidR="0072221A">
        <w:rPr>
          <w:noProof/>
        </w:rPr>
        <w:t> </w:t>
      </w:r>
      <w:r w:rsidR="0072221A">
        <w:rPr>
          <w:noProof/>
        </w:rPr>
        <w:t> </w:t>
      </w:r>
      <w:r w:rsidR="0072221A">
        <w:rPr>
          <w:noProof/>
        </w:rPr>
        <w:t> </w:t>
      </w:r>
      <w:r w:rsidR="0072221A">
        <w:rPr>
          <w:noProof/>
        </w:rPr>
        <w:t> </w:t>
      </w:r>
      <w:r w:rsidR="0072221A">
        <w:rPr>
          <w:noProof/>
        </w:rPr>
        <w:t> </w:t>
      </w:r>
      <w:r w:rsidR="0072221A">
        <w:fldChar w:fldCharType="end"/>
      </w:r>
    </w:p>
    <w:p w:rsidR="0072221A" w:rsidRDefault="0072221A" w:rsidP="000A4915">
      <w:pPr>
        <w:ind w:left="3969" w:hanging="3969"/>
      </w:pPr>
    </w:p>
    <w:p w:rsidR="0072221A" w:rsidRDefault="0072221A" w:rsidP="000A4915">
      <w:pPr>
        <w:ind w:left="3969" w:hanging="3969"/>
      </w:pPr>
      <w:r>
        <w:t>Farbstoffe:</w:t>
      </w:r>
    </w:p>
    <w:p w:rsidR="0072221A" w:rsidRDefault="0072221A" w:rsidP="000A4915">
      <w:pPr>
        <w:ind w:left="3969" w:hanging="3969"/>
      </w:pPr>
    </w:p>
    <w:tbl>
      <w:tblPr>
        <w:tblStyle w:val="Tabellenraster"/>
        <w:tblW w:w="0" w:type="auto"/>
        <w:tblInd w:w="-5" w:type="dxa"/>
        <w:tblLook w:val="04A0" w:firstRow="1" w:lastRow="0" w:firstColumn="1" w:lastColumn="0" w:noHBand="0" w:noVBand="1"/>
      </w:tblPr>
      <w:tblGrid>
        <w:gridCol w:w="2617"/>
        <w:gridCol w:w="2617"/>
      </w:tblGrid>
      <w:tr w:rsidR="0072221A" w:rsidTr="0072221A">
        <w:tc>
          <w:tcPr>
            <w:tcW w:w="2617" w:type="dxa"/>
          </w:tcPr>
          <w:p w:rsidR="0072221A" w:rsidRDefault="0072221A" w:rsidP="000A4915">
            <w:r>
              <w:t>Bezeichnung</w:t>
            </w:r>
          </w:p>
        </w:tc>
        <w:tc>
          <w:tcPr>
            <w:tcW w:w="2617" w:type="dxa"/>
          </w:tcPr>
          <w:p w:rsidR="0072221A" w:rsidRDefault="0072221A" w:rsidP="000A4915">
            <w:r>
              <w:t>CAS-Nummer</w:t>
            </w:r>
          </w:p>
        </w:tc>
      </w:tr>
      <w:tr w:rsidR="0072221A" w:rsidTr="0072221A">
        <w:tc>
          <w:tcPr>
            <w:tcW w:w="2617" w:type="dxa"/>
          </w:tcPr>
          <w:p w:rsidR="0072221A" w:rsidRDefault="0072221A" w:rsidP="000A4915">
            <w:r>
              <w:fldChar w:fldCharType="begin">
                <w:ffData>
                  <w:name w:val="Text23"/>
                  <w:enabled/>
                  <w:calcOnExit w:val="0"/>
                  <w:textInput>
                    <w:maxLength w:val="3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617" w:type="dxa"/>
          </w:tcPr>
          <w:p w:rsidR="0072221A" w:rsidRDefault="0072221A" w:rsidP="000A4915">
            <w:r>
              <w:fldChar w:fldCharType="begin">
                <w:ffData>
                  <w:name w:val="Text23"/>
                  <w:enabled/>
                  <w:calcOnExit w:val="0"/>
                  <w:textInput>
                    <w:maxLength w:val="3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72221A" w:rsidRDefault="0072221A" w:rsidP="000A4915">
      <w:pPr>
        <w:ind w:left="3969" w:hanging="3969"/>
      </w:pPr>
    </w:p>
    <w:p w:rsidR="000A4915" w:rsidRDefault="000A4915" w:rsidP="000A4915">
      <w:pPr>
        <w:ind w:left="3969" w:hanging="3969"/>
        <w:rPr>
          <w:lang w:eastAsia="ar-SA"/>
        </w:rPr>
      </w:pPr>
    </w:p>
    <w:p w:rsidR="0072221A" w:rsidRDefault="0072221A" w:rsidP="0072221A">
      <w:r>
        <w:t>Zum Schutz von Umwelt und Gesundheit dürfen Stoffe</w:t>
      </w:r>
      <w:r w:rsidRPr="00827D08">
        <w:t xml:space="preserve"> </w:t>
      </w:r>
      <w:r>
        <w:t>und</w:t>
      </w:r>
      <w:r w:rsidRPr="00827D08">
        <w:t xml:space="preserve"> Gemische</w:t>
      </w:r>
      <w:r>
        <w:t xml:space="preserve"> mit bestimmten Eigenschaften im Produkt oder in Teilen des Produktes nicht enthalten sein.</w:t>
      </w:r>
      <w:r w:rsidRPr="000B431A">
        <w:t xml:space="preserve"> </w:t>
      </w:r>
    </w:p>
    <w:p w:rsidR="0072221A" w:rsidRDefault="0072221A" w:rsidP="0072221A">
      <w:r>
        <w:t>Folgende Stoffe dürfen als konstitutionelle Bestandteile der Hygieneprodukte</w:t>
      </w:r>
      <w:r>
        <w:rPr>
          <w:rStyle w:val="Funotenzeichen"/>
        </w:rPr>
        <w:footnoteReference w:id="1"/>
      </w:r>
      <w:r>
        <w:t xml:space="preserve"> oder Teilen davon nicht enthalten sein</w:t>
      </w:r>
      <w:r>
        <w:rPr>
          <w:rStyle w:val="Funotenzeichen"/>
        </w:rPr>
        <w:footnoteReference w:id="2"/>
      </w:r>
      <w:r>
        <w:t>:</w:t>
      </w:r>
    </w:p>
    <w:p w:rsidR="0072221A" w:rsidRDefault="0072221A" w:rsidP="0072221A"/>
    <w:p w:rsidR="0072221A" w:rsidRPr="0072221A" w:rsidRDefault="0072221A" w:rsidP="0072221A">
      <w:pPr>
        <w:pStyle w:val="AufzhlungBuchstabe"/>
        <w:numPr>
          <w:ilvl w:val="6"/>
          <w:numId w:val="23"/>
        </w:numPr>
        <w:rPr>
          <w:rFonts w:ascii="Arial" w:eastAsia="Times New Roman" w:hAnsi="Arial" w:cs="Arial"/>
          <w:sz w:val="22"/>
          <w:szCs w:val="22"/>
          <w:lang w:eastAsia="de-DE"/>
        </w:rPr>
      </w:pPr>
      <w:r w:rsidRPr="0072221A">
        <w:rPr>
          <w:rFonts w:ascii="Arial" w:eastAsia="Times New Roman" w:hAnsi="Arial" w:cs="Arial"/>
          <w:sz w:val="22"/>
          <w:szCs w:val="22"/>
          <w:lang w:eastAsia="de-DE"/>
        </w:rPr>
        <w:t>Besonders besorgniserregende Stoffe (SVHC)</w:t>
      </w:r>
      <w:r w:rsidRPr="0072221A">
        <w:rPr>
          <w:rFonts w:ascii="Arial" w:eastAsia="Times New Roman" w:hAnsi="Arial" w:cs="Arial"/>
          <w:sz w:val="22"/>
          <w:szCs w:val="22"/>
          <w:lang w:eastAsia="de-DE"/>
        </w:rPr>
        <w:tab/>
      </w:r>
      <w:r w:rsidRPr="0072221A">
        <w:rPr>
          <w:rFonts w:ascii="Arial" w:eastAsia="Times New Roman" w:hAnsi="Arial" w:cs="Arial"/>
          <w:sz w:val="22"/>
          <w:szCs w:val="22"/>
          <w:lang w:eastAsia="de-DE"/>
        </w:rPr>
        <w:br/>
        <w:t>Stoffe, die gemäß Artikel 57 der Verordnung (EG) Nr. 1907/2006 (REACH) als besonders besorgniserregend identifiziert wurden und in die gemäß Artikel 59 Absatz 1 derselben Verordnung erstellte Liste, die so genannte „Kandidatenliste“</w:t>
      </w:r>
      <w:r w:rsidRPr="0072221A">
        <w:rPr>
          <w:rFonts w:ascii="Arial" w:eastAsia="Times New Roman" w:hAnsi="Arial" w:cs="Arial"/>
          <w:sz w:val="22"/>
          <w:szCs w:val="22"/>
          <w:lang w:eastAsia="de-DE"/>
        </w:rPr>
        <w:footnoteReference w:id="3"/>
      </w:r>
      <w:r w:rsidRPr="0072221A">
        <w:rPr>
          <w:rFonts w:ascii="Arial" w:eastAsia="Times New Roman" w:hAnsi="Arial" w:cs="Arial"/>
          <w:sz w:val="22"/>
          <w:szCs w:val="22"/>
          <w:lang w:eastAsia="de-DE"/>
        </w:rPr>
        <w:t xml:space="preserve">, aufgenommen wurden, sind von ihrer Verwendung in Endprodukten ausgeschlossen. </w:t>
      </w:r>
      <w:r w:rsidRPr="0072221A">
        <w:rPr>
          <w:rFonts w:ascii="Arial" w:eastAsia="Times New Roman" w:hAnsi="Arial" w:cs="Arial"/>
          <w:sz w:val="22"/>
          <w:szCs w:val="22"/>
          <w:lang w:eastAsia="de-DE"/>
        </w:rPr>
        <w:tab/>
      </w:r>
      <w:r w:rsidRPr="0072221A">
        <w:rPr>
          <w:rFonts w:ascii="Arial" w:eastAsia="Times New Roman" w:hAnsi="Arial" w:cs="Arial"/>
          <w:sz w:val="22"/>
          <w:szCs w:val="22"/>
          <w:lang w:eastAsia="de-DE"/>
        </w:rPr>
        <w:br/>
        <w:t>Es gilt die Fassung der Kandidatenliste zum Zeitpunkt der Antragsstellung.</w:t>
      </w:r>
    </w:p>
    <w:p w:rsidR="0072221A" w:rsidRPr="0072221A" w:rsidRDefault="0072221A" w:rsidP="0072221A">
      <w:pPr>
        <w:pStyle w:val="AufzhlungBuchstabe"/>
        <w:numPr>
          <w:ilvl w:val="6"/>
          <w:numId w:val="23"/>
        </w:numPr>
        <w:rPr>
          <w:rFonts w:ascii="Arial" w:eastAsia="Times New Roman" w:hAnsi="Arial" w:cs="Arial"/>
          <w:sz w:val="22"/>
          <w:szCs w:val="22"/>
          <w:lang w:eastAsia="de-DE"/>
        </w:rPr>
      </w:pPr>
      <w:r w:rsidRPr="0072221A">
        <w:rPr>
          <w:rFonts w:ascii="Arial" w:eastAsia="Times New Roman" w:hAnsi="Arial" w:cs="Arial"/>
          <w:sz w:val="22"/>
          <w:szCs w:val="22"/>
          <w:lang w:eastAsia="de-DE"/>
        </w:rPr>
        <w:t>Stoffe und Gemische, die gemäß den Kriterien der Verordnung (EG) Nr.1272/2008 (CLP)</w:t>
      </w:r>
      <w:bookmarkStart w:id="0" w:name="_Ref497830337"/>
      <w:r w:rsidRPr="0072221A">
        <w:rPr>
          <w:rFonts w:ascii="Arial" w:eastAsia="Times New Roman" w:hAnsi="Arial" w:cs="Arial"/>
          <w:sz w:val="22"/>
          <w:szCs w:val="22"/>
          <w:lang w:eastAsia="de-DE"/>
        </w:rPr>
        <w:footnoteReference w:id="4"/>
      </w:r>
      <w:bookmarkEnd w:id="0"/>
      <w:r w:rsidRPr="0072221A">
        <w:rPr>
          <w:rFonts w:ascii="Arial" w:eastAsia="Times New Roman" w:hAnsi="Arial" w:cs="Arial"/>
          <w:sz w:val="22"/>
          <w:szCs w:val="22"/>
          <w:lang w:eastAsia="de-DE"/>
        </w:rPr>
        <w:t xml:space="preserve"> mit den in der folgenden Tabelle genannten H-Sätzen eingestuft sind oder die die Kriterien für eine solche Einstufung erfüllen.</w:t>
      </w:r>
      <w:r w:rsidRPr="0072221A">
        <w:rPr>
          <w:rFonts w:ascii="Arial" w:eastAsia="Times New Roman" w:hAnsi="Arial" w:cs="Arial"/>
          <w:sz w:val="22"/>
          <w:szCs w:val="22"/>
          <w:lang w:eastAsia="de-DE"/>
        </w:rPr>
        <w:footnoteReference w:id="5"/>
      </w:r>
    </w:p>
    <w:p w:rsidR="0072221A" w:rsidRPr="0072221A" w:rsidRDefault="0072221A" w:rsidP="0072221A">
      <w:pPr>
        <w:spacing w:line="276" w:lineRule="auto"/>
      </w:pPr>
    </w:p>
    <w:p w:rsidR="0072221A" w:rsidRPr="0072221A" w:rsidRDefault="0072221A" w:rsidP="0072221A">
      <w:pPr>
        <w:pStyle w:val="Standardklein"/>
        <w:rPr>
          <w:rFonts w:ascii="Arial" w:eastAsia="Times New Roman" w:hAnsi="Arial" w:cs="Arial"/>
          <w:sz w:val="22"/>
          <w:szCs w:val="22"/>
          <w:lang w:eastAsia="de-DE"/>
        </w:rPr>
      </w:pPr>
      <w:r w:rsidRPr="0072221A">
        <w:rPr>
          <w:rFonts w:ascii="Arial" w:eastAsia="Times New Roman" w:hAnsi="Arial" w:cs="Arial"/>
          <w:sz w:val="22"/>
          <w:szCs w:val="22"/>
          <w:lang w:eastAsia="de-DE"/>
        </w:rPr>
        <w:t xml:space="preserve">Tabelle </w:t>
      </w:r>
      <w:r w:rsidRPr="0072221A">
        <w:rPr>
          <w:rFonts w:ascii="Arial" w:eastAsia="Times New Roman" w:hAnsi="Arial" w:cs="Arial"/>
          <w:sz w:val="22"/>
          <w:szCs w:val="22"/>
          <w:lang w:eastAsia="de-DE"/>
        </w:rPr>
        <w:fldChar w:fldCharType="begin"/>
      </w:r>
      <w:r w:rsidRPr="0072221A">
        <w:rPr>
          <w:rFonts w:ascii="Arial" w:eastAsia="Times New Roman" w:hAnsi="Arial" w:cs="Arial"/>
          <w:sz w:val="22"/>
          <w:szCs w:val="22"/>
          <w:lang w:eastAsia="de-DE"/>
        </w:rPr>
        <w:instrText xml:space="preserve"> SEQ Tabelle \* ARABIC </w:instrText>
      </w:r>
      <w:r w:rsidRPr="0072221A">
        <w:rPr>
          <w:rFonts w:ascii="Arial" w:eastAsia="Times New Roman" w:hAnsi="Arial" w:cs="Arial"/>
          <w:sz w:val="22"/>
          <w:szCs w:val="22"/>
          <w:lang w:eastAsia="de-DE"/>
        </w:rPr>
        <w:fldChar w:fldCharType="separate"/>
      </w:r>
      <w:r w:rsidRPr="0072221A">
        <w:rPr>
          <w:rFonts w:ascii="Arial" w:eastAsia="Times New Roman" w:hAnsi="Arial" w:cs="Arial"/>
          <w:sz w:val="22"/>
          <w:szCs w:val="22"/>
          <w:lang w:eastAsia="de-DE"/>
        </w:rPr>
        <w:t>1</w:t>
      </w:r>
      <w:r w:rsidRPr="0072221A">
        <w:rPr>
          <w:rFonts w:ascii="Arial" w:eastAsia="Times New Roman" w:hAnsi="Arial" w:cs="Arial"/>
          <w:sz w:val="22"/>
          <w:szCs w:val="22"/>
          <w:lang w:eastAsia="de-DE"/>
        </w:rPr>
        <w:fldChar w:fldCharType="end"/>
      </w:r>
      <w:r w:rsidRPr="0072221A">
        <w:rPr>
          <w:rFonts w:ascii="Arial" w:eastAsia="Times New Roman" w:hAnsi="Arial" w:cs="Arial"/>
          <w:sz w:val="22"/>
          <w:szCs w:val="22"/>
          <w:lang w:eastAsia="de-DE"/>
        </w:rPr>
        <w:t>: H-Sätze und zugeordnete Wortlaute</w:t>
      </w:r>
    </w:p>
    <w:tbl>
      <w:tblPr>
        <w:tblStyle w:val="TabellefrVergabegrundlage"/>
        <w:tblW w:w="9694" w:type="dxa"/>
        <w:tblInd w:w="0" w:type="dxa"/>
        <w:tblLayout w:type="fixed"/>
        <w:tblLook w:val="04A0" w:firstRow="1" w:lastRow="0" w:firstColumn="1" w:lastColumn="0" w:noHBand="0" w:noVBand="1"/>
      </w:tblPr>
      <w:tblGrid>
        <w:gridCol w:w="1588"/>
        <w:gridCol w:w="8106"/>
      </w:tblGrid>
      <w:tr w:rsidR="0072221A" w:rsidRPr="00D37304" w:rsidTr="00F80E02">
        <w:trPr>
          <w:cnfStyle w:val="100000000000" w:firstRow="1" w:lastRow="0" w:firstColumn="0" w:lastColumn="0" w:oddVBand="0" w:evenVBand="0" w:oddHBand="0" w:evenHBand="0" w:firstRowFirstColumn="0" w:firstRowLastColumn="0" w:lastRowFirstColumn="0" w:lastRowLastColumn="0"/>
        </w:trPr>
        <w:tc>
          <w:tcPr>
            <w:tcW w:w="1588" w:type="dxa"/>
          </w:tcPr>
          <w:p w:rsidR="0072221A" w:rsidRPr="0072221A" w:rsidRDefault="0072221A" w:rsidP="00F80E02">
            <w:pPr>
              <w:pStyle w:val="Standardfett"/>
              <w:rPr>
                <w:rFonts w:ascii="Arial" w:eastAsia="Times New Roman" w:hAnsi="Arial" w:cs="Arial"/>
                <w:b/>
                <w:sz w:val="22"/>
                <w:szCs w:val="22"/>
                <w:lang w:eastAsia="de-DE"/>
              </w:rPr>
            </w:pPr>
            <w:r w:rsidRPr="0072221A">
              <w:rPr>
                <w:rFonts w:ascii="Arial" w:eastAsia="Times New Roman" w:hAnsi="Arial" w:cs="Arial"/>
                <w:b/>
                <w:sz w:val="22"/>
                <w:szCs w:val="22"/>
                <w:lang w:eastAsia="de-DE"/>
              </w:rPr>
              <w:lastRenderedPageBreak/>
              <w:t>H-Satz</w:t>
            </w:r>
          </w:p>
        </w:tc>
        <w:tc>
          <w:tcPr>
            <w:tcW w:w="8106" w:type="dxa"/>
          </w:tcPr>
          <w:p w:rsidR="0072221A" w:rsidRPr="0072221A" w:rsidRDefault="0072221A" w:rsidP="00F80E02">
            <w:pPr>
              <w:pStyle w:val="Standardfett"/>
              <w:rPr>
                <w:rFonts w:ascii="Arial" w:eastAsia="Times New Roman" w:hAnsi="Arial" w:cs="Arial"/>
                <w:b/>
                <w:sz w:val="22"/>
                <w:szCs w:val="22"/>
                <w:lang w:eastAsia="de-DE"/>
              </w:rPr>
            </w:pPr>
            <w:r w:rsidRPr="0072221A">
              <w:rPr>
                <w:rFonts w:ascii="Arial" w:eastAsia="Times New Roman" w:hAnsi="Arial" w:cs="Arial"/>
                <w:b/>
                <w:sz w:val="22"/>
                <w:szCs w:val="22"/>
                <w:lang w:eastAsia="de-DE"/>
              </w:rPr>
              <w:t>Wortlaut</w:t>
            </w:r>
          </w:p>
        </w:tc>
      </w:tr>
      <w:tr w:rsidR="0072221A" w:rsidTr="00F80E02">
        <w:tc>
          <w:tcPr>
            <w:tcW w:w="9694" w:type="dxa"/>
            <w:gridSpan w:val="2"/>
          </w:tcPr>
          <w:p w:rsidR="0072221A" w:rsidRPr="0072221A" w:rsidRDefault="0072221A" w:rsidP="00F80E02">
            <w:pPr>
              <w:pStyle w:val="Standardklein"/>
              <w:rPr>
                <w:rFonts w:ascii="Arial" w:eastAsia="Times New Roman" w:hAnsi="Arial" w:cs="Arial"/>
                <w:b/>
                <w:sz w:val="22"/>
                <w:szCs w:val="22"/>
                <w:lang w:eastAsia="de-DE"/>
              </w:rPr>
            </w:pPr>
            <w:r w:rsidRPr="0072221A">
              <w:rPr>
                <w:rFonts w:ascii="Arial" w:eastAsia="Times New Roman" w:hAnsi="Arial" w:cs="Arial"/>
                <w:b/>
                <w:sz w:val="22"/>
                <w:szCs w:val="22"/>
                <w:lang w:eastAsia="de-DE"/>
              </w:rPr>
              <w:t>Toxische Stoffe</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H300</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Lebensgefahr bei Verschlucken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H301</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Giftig bei Verschlucken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H302</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Gesundheitsschädlich bei Verschlucken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H304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bei Verschlucken und Eindringen in die Atemwege tödlich sein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H310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Lebensgefahr bei Hautkontakt</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H311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 xml:space="preserve">Giftig bei Hautkontakt </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H312</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Gesundheitsschädlich bei Hautkontakt</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H314</w:t>
            </w:r>
          </w:p>
        </w:tc>
        <w:tc>
          <w:tcPr>
            <w:tcW w:w="8106" w:type="dxa"/>
          </w:tcPr>
          <w:p w:rsidR="0072221A" w:rsidRPr="0072221A" w:rsidRDefault="0072221A" w:rsidP="00F80E02">
            <w:pPr>
              <w:rPr>
                <w:rFonts w:eastAsia="Times New Roman"/>
                <w:lang w:eastAsia="de-DE"/>
              </w:rPr>
            </w:pPr>
            <w:proofErr w:type="gramStart"/>
            <w:r w:rsidRPr="0072221A">
              <w:rPr>
                <w:rFonts w:eastAsia="Times New Roman"/>
                <w:lang w:eastAsia="de-DE"/>
              </w:rPr>
              <w:t>Verursacht</w:t>
            </w:r>
            <w:proofErr w:type="gramEnd"/>
            <w:r w:rsidRPr="0072221A">
              <w:rPr>
                <w:rFonts w:eastAsia="Times New Roman"/>
                <w:lang w:eastAsia="de-DE"/>
              </w:rPr>
              <w:t xml:space="preserve"> schwere Verätzungen der Haut und schwere Augenschäden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H330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Lebensgefahr bei Einatmen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H331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Giftig bei Einatmen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H332</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Gesundheitsschädlich bei Einatmen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H370 </w:t>
            </w:r>
          </w:p>
        </w:tc>
        <w:tc>
          <w:tcPr>
            <w:tcW w:w="8106" w:type="dxa"/>
          </w:tcPr>
          <w:p w:rsidR="0072221A" w:rsidRPr="0072221A" w:rsidRDefault="0072221A" w:rsidP="00F80E02">
            <w:pPr>
              <w:rPr>
                <w:rFonts w:eastAsia="Times New Roman"/>
                <w:lang w:eastAsia="de-DE"/>
              </w:rPr>
            </w:pPr>
            <w:proofErr w:type="gramStart"/>
            <w:r w:rsidRPr="0072221A">
              <w:rPr>
                <w:rFonts w:eastAsia="Times New Roman"/>
                <w:lang w:eastAsia="de-DE"/>
              </w:rPr>
              <w:t>Schädigt</w:t>
            </w:r>
            <w:proofErr w:type="gramEnd"/>
            <w:r w:rsidRPr="0072221A">
              <w:rPr>
                <w:rFonts w:eastAsia="Times New Roman"/>
                <w:lang w:eastAsia="de-DE"/>
              </w:rPr>
              <w:t xml:space="preserve"> die Organe</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H371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die Organe schädigen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H372 </w:t>
            </w:r>
          </w:p>
        </w:tc>
        <w:tc>
          <w:tcPr>
            <w:tcW w:w="8106" w:type="dxa"/>
          </w:tcPr>
          <w:p w:rsidR="0072221A" w:rsidRPr="0072221A" w:rsidRDefault="0072221A" w:rsidP="00F80E02">
            <w:pPr>
              <w:rPr>
                <w:rFonts w:eastAsia="Times New Roman"/>
                <w:lang w:eastAsia="de-DE"/>
              </w:rPr>
            </w:pPr>
            <w:proofErr w:type="gramStart"/>
            <w:r w:rsidRPr="0072221A">
              <w:rPr>
                <w:rFonts w:eastAsia="Times New Roman"/>
                <w:lang w:eastAsia="de-DE"/>
              </w:rPr>
              <w:t>Schädigt</w:t>
            </w:r>
            <w:proofErr w:type="gramEnd"/>
            <w:r w:rsidRPr="0072221A">
              <w:rPr>
                <w:rFonts w:eastAsia="Times New Roman"/>
                <w:lang w:eastAsia="de-DE"/>
              </w:rPr>
              <w:t xml:space="preserve"> die Organe bei längerer oder wiederholter Exposition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H373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die Organe schädigen bei längerer oder wiederholter Exposition</w:t>
            </w:r>
          </w:p>
        </w:tc>
      </w:tr>
      <w:tr w:rsidR="0072221A" w:rsidTr="00F80E02">
        <w:tc>
          <w:tcPr>
            <w:tcW w:w="9694" w:type="dxa"/>
            <w:gridSpan w:val="2"/>
          </w:tcPr>
          <w:p w:rsidR="0072221A" w:rsidRPr="0072221A" w:rsidRDefault="0072221A" w:rsidP="00F80E02">
            <w:pPr>
              <w:pStyle w:val="Standardklein"/>
              <w:rPr>
                <w:rFonts w:ascii="Arial" w:eastAsia="Times New Roman" w:hAnsi="Arial" w:cs="Arial"/>
                <w:b/>
                <w:sz w:val="22"/>
                <w:szCs w:val="22"/>
                <w:lang w:eastAsia="de-DE"/>
              </w:rPr>
            </w:pPr>
            <w:r w:rsidRPr="0072221A">
              <w:rPr>
                <w:rFonts w:ascii="Arial" w:eastAsia="Times New Roman" w:hAnsi="Arial" w:cs="Arial"/>
                <w:b/>
                <w:sz w:val="22"/>
                <w:szCs w:val="22"/>
                <w:lang w:eastAsia="de-DE"/>
              </w:rPr>
              <w:t>Sensibilisierende Stoffe</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H317</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allergische Hautreaktionen verursachen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H334</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bei Einatmen Allergie, asthmaartige Symptome oder Atembeschwerden verur</w:t>
            </w:r>
            <w:r w:rsidRPr="0072221A">
              <w:rPr>
                <w:rFonts w:eastAsia="Times New Roman"/>
                <w:lang w:eastAsia="de-DE"/>
              </w:rPr>
              <w:softHyphen/>
              <w:t>sachen</w:t>
            </w:r>
          </w:p>
        </w:tc>
      </w:tr>
      <w:tr w:rsidR="0072221A" w:rsidTr="00F80E02">
        <w:tc>
          <w:tcPr>
            <w:tcW w:w="9694" w:type="dxa"/>
            <w:gridSpan w:val="2"/>
          </w:tcPr>
          <w:p w:rsidR="0072221A" w:rsidRPr="0072221A" w:rsidRDefault="0072221A" w:rsidP="00F80E02">
            <w:pPr>
              <w:pStyle w:val="Standardklein"/>
              <w:rPr>
                <w:rFonts w:ascii="Arial" w:eastAsia="Times New Roman" w:hAnsi="Arial" w:cs="Arial"/>
                <w:b/>
                <w:sz w:val="22"/>
                <w:szCs w:val="22"/>
                <w:lang w:eastAsia="de-DE"/>
              </w:rPr>
            </w:pPr>
            <w:r w:rsidRPr="0072221A">
              <w:rPr>
                <w:rFonts w:ascii="Arial" w:eastAsia="Times New Roman" w:hAnsi="Arial" w:cs="Arial"/>
                <w:b/>
                <w:sz w:val="22"/>
                <w:szCs w:val="22"/>
                <w:lang w:eastAsia="de-DE"/>
              </w:rPr>
              <w:t>Krebserzeugende, erbgutverändernde und fortpflanzungsgefährdende Stoffe</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H340</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genetische Defekte verursachen.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H341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vermutlich genetische Defekte verursachen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H350</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Krebs erzeugen.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H351</w:t>
            </w:r>
            <w:r w:rsidRPr="0072221A">
              <w:rPr>
                <w:rFonts w:eastAsia="Times New Roman"/>
                <w:lang w:eastAsia="de-DE"/>
              </w:rPr>
              <w:footnoteReference w:id="6"/>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vermutlich Krebs erzeugen.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H360</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die Fruchtbarkeit beeinträchtigen oder das Kind im Mutterleib schädigen</w:t>
            </w:r>
          </w:p>
        </w:tc>
      </w:tr>
      <w:tr w:rsidR="0072221A" w:rsidTr="00F80E02">
        <w:tc>
          <w:tcPr>
            <w:tcW w:w="1588" w:type="dxa"/>
          </w:tcPr>
          <w:p w:rsidR="0072221A" w:rsidRPr="0072221A" w:rsidDel="000100A6" w:rsidRDefault="0072221A" w:rsidP="00F80E02">
            <w:pPr>
              <w:rPr>
                <w:rFonts w:eastAsia="Times New Roman"/>
                <w:lang w:eastAsia="de-DE"/>
              </w:rPr>
            </w:pPr>
            <w:r w:rsidRPr="0072221A">
              <w:rPr>
                <w:rFonts w:eastAsia="Times New Roman"/>
                <w:lang w:eastAsia="de-DE"/>
              </w:rPr>
              <w:t>H361</w:t>
            </w:r>
          </w:p>
        </w:tc>
        <w:tc>
          <w:tcPr>
            <w:tcW w:w="8106" w:type="dxa"/>
          </w:tcPr>
          <w:p w:rsidR="0072221A" w:rsidRPr="0072221A" w:rsidDel="000100A6" w:rsidRDefault="0072221A" w:rsidP="00F80E02">
            <w:pPr>
              <w:rPr>
                <w:rFonts w:eastAsia="Times New Roman"/>
                <w:lang w:eastAsia="de-DE"/>
              </w:rPr>
            </w:pPr>
            <w:r w:rsidRPr="0072221A">
              <w:rPr>
                <w:rFonts w:eastAsia="Times New Roman"/>
                <w:lang w:eastAsia="de-DE"/>
              </w:rPr>
              <w:t>Kann vermutlich die Fruchtbarkeit beeinträchtigen oder das Kind im Mutterleib schädigen</w:t>
            </w:r>
          </w:p>
        </w:tc>
      </w:tr>
      <w:tr w:rsidR="0072221A" w:rsidTr="00F80E02">
        <w:trPr>
          <w:trHeight w:val="235"/>
        </w:trPr>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H362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Säuglinge über die Muttermilch schädigen</w:t>
            </w:r>
          </w:p>
        </w:tc>
      </w:tr>
      <w:tr w:rsidR="0072221A" w:rsidTr="00F80E02">
        <w:tc>
          <w:tcPr>
            <w:tcW w:w="9694" w:type="dxa"/>
            <w:gridSpan w:val="2"/>
          </w:tcPr>
          <w:p w:rsidR="0072221A" w:rsidRPr="0072221A" w:rsidRDefault="0072221A" w:rsidP="00F80E02">
            <w:pPr>
              <w:pStyle w:val="Standardklein"/>
              <w:rPr>
                <w:rFonts w:ascii="Arial" w:eastAsia="Times New Roman" w:hAnsi="Arial" w:cs="Arial"/>
                <w:b/>
                <w:sz w:val="22"/>
                <w:szCs w:val="22"/>
                <w:lang w:eastAsia="de-DE"/>
              </w:rPr>
            </w:pPr>
            <w:r w:rsidRPr="0072221A">
              <w:rPr>
                <w:rFonts w:ascii="Arial" w:eastAsia="Times New Roman" w:hAnsi="Arial" w:cs="Arial"/>
                <w:b/>
                <w:sz w:val="22"/>
                <w:szCs w:val="22"/>
                <w:lang w:eastAsia="de-DE"/>
              </w:rPr>
              <w:t>Umweltgefährdende Stoffe</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H400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Sehr giftig für Wasserorganismen</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H410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Sehr giftig für Wasserorganismen, mit langfristiger Wirkung</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H411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Giftig für Wasserorganismen, mit langfristiger Wirkung</w:t>
            </w:r>
          </w:p>
        </w:tc>
      </w:tr>
      <w:tr w:rsidR="0072221A" w:rsidTr="00F80E02">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H412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Schädlich für Wasserorganismen, mit langfristiger Wirkung</w:t>
            </w:r>
          </w:p>
        </w:tc>
      </w:tr>
      <w:tr w:rsidR="0072221A" w:rsidTr="00F80E02">
        <w:trPr>
          <w:trHeight w:val="68"/>
        </w:trPr>
        <w:tc>
          <w:tcPr>
            <w:tcW w:w="1588" w:type="dxa"/>
          </w:tcPr>
          <w:p w:rsidR="0072221A" w:rsidRPr="0072221A" w:rsidRDefault="0072221A" w:rsidP="00F80E02">
            <w:pPr>
              <w:rPr>
                <w:rFonts w:eastAsia="Times New Roman"/>
                <w:lang w:eastAsia="de-DE"/>
              </w:rPr>
            </w:pPr>
            <w:r w:rsidRPr="0072221A">
              <w:rPr>
                <w:rFonts w:eastAsia="Times New Roman"/>
                <w:lang w:eastAsia="de-DE"/>
              </w:rPr>
              <w:t xml:space="preserve">H413 </w:t>
            </w:r>
          </w:p>
        </w:tc>
        <w:tc>
          <w:tcPr>
            <w:tcW w:w="8106" w:type="dxa"/>
          </w:tcPr>
          <w:p w:rsidR="0072221A" w:rsidRPr="0072221A" w:rsidRDefault="0072221A" w:rsidP="00F80E02">
            <w:pPr>
              <w:rPr>
                <w:rFonts w:eastAsia="Times New Roman"/>
                <w:lang w:eastAsia="de-DE"/>
              </w:rPr>
            </w:pPr>
            <w:r w:rsidRPr="0072221A">
              <w:rPr>
                <w:rFonts w:eastAsia="Times New Roman"/>
                <w:lang w:eastAsia="de-DE"/>
              </w:rPr>
              <w:t>Kann für Wasserorganismen schädlich sein, mit langfristiger Wirkung</w:t>
            </w:r>
          </w:p>
        </w:tc>
      </w:tr>
    </w:tbl>
    <w:p w:rsidR="0072221A" w:rsidRPr="0072221A" w:rsidRDefault="0072221A" w:rsidP="0072221A">
      <w:pPr>
        <w:pStyle w:val="Standardklein"/>
        <w:rPr>
          <w:rFonts w:ascii="Arial" w:eastAsia="Times New Roman" w:hAnsi="Arial" w:cs="Arial"/>
          <w:sz w:val="22"/>
          <w:szCs w:val="22"/>
          <w:lang w:eastAsia="de-DE"/>
        </w:rPr>
      </w:pPr>
      <w:r w:rsidRPr="0072221A">
        <w:rPr>
          <w:rFonts w:ascii="Arial" w:eastAsia="Times New Roman" w:hAnsi="Arial" w:cs="Arial"/>
          <w:sz w:val="22"/>
          <w:szCs w:val="22"/>
          <w:lang w:eastAsia="de-DE"/>
        </w:rPr>
        <w:t>Quelle: H-Sätze nach CLP-Verordnung</w:t>
      </w:r>
    </w:p>
    <w:p w:rsidR="0072221A" w:rsidRPr="0072221A" w:rsidRDefault="0072221A" w:rsidP="0072221A">
      <w:pPr>
        <w:pStyle w:val="AufzhlungBuchstabe"/>
        <w:numPr>
          <w:ilvl w:val="0"/>
          <w:numId w:val="0"/>
        </w:numPr>
        <w:rPr>
          <w:rFonts w:ascii="Arial" w:eastAsia="Times New Roman" w:hAnsi="Arial" w:cs="Arial"/>
          <w:sz w:val="22"/>
          <w:szCs w:val="22"/>
          <w:lang w:eastAsia="de-DE"/>
        </w:rPr>
      </w:pPr>
    </w:p>
    <w:p w:rsidR="0072221A" w:rsidRPr="0072221A" w:rsidRDefault="0072221A" w:rsidP="0072221A">
      <w:pPr>
        <w:pStyle w:val="AufzhlungBuchstabe"/>
        <w:numPr>
          <w:ilvl w:val="6"/>
          <w:numId w:val="23"/>
        </w:numPr>
        <w:rPr>
          <w:rFonts w:ascii="Arial" w:eastAsia="Times New Roman" w:hAnsi="Arial" w:cs="Arial"/>
          <w:sz w:val="22"/>
          <w:szCs w:val="22"/>
          <w:lang w:eastAsia="de-DE"/>
        </w:rPr>
      </w:pPr>
      <w:bookmarkStart w:id="1" w:name="_Ref493792570"/>
      <w:r w:rsidRPr="0072221A">
        <w:rPr>
          <w:rFonts w:ascii="Arial" w:eastAsia="Times New Roman" w:hAnsi="Arial" w:cs="Arial"/>
          <w:sz w:val="22"/>
          <w:szCs w:val="22"/>
          <w:lang w:eastAsia="de-DE"/>
        </w:rPr>
        <w:t>Stoffe, deren Abbauprodukte krebserzeugende, erbgutverändernde oder fortpflanzungs</w:t>
      </w:r>
      <w:r w:rsidRPr="0072221A">
        <w:rPr>
          <w:rFonts w:ascii="Arial" w:eastAsia="Times New Roman" w:hAnsi="Arial" w:cs="Arial"/>
          <w:sz w:val="22"/>
          <w:szCs w:val="22"/>
          <w:lang w:eastAsia="de-DE"/>
        </w:rPr>
        <w:softHyphen/>
        <w:t xml:space="preserve">gefährdende Eigenschaften haben. Als Farbstoffe dürfen keine Azofarbstoffe eingesetzt </w:t>
      </w:r>
      <w:r w:rsidRPr="0072221A">
        <w:rPr>
          <w:rFonts w:ascii="Arial" w:eastAsia="Times New Roman" w:hAnsi="Arial" w:cs="Arial"/>
          <w:sz w:val="22"/>
          <w:szCs w:val="22"/>
          <w:lang w:eastAsia="de-DE"/>
        </w:rPr>
        <w:lastRenderedPageBreak/>
        <w:t xml:space="preserve">werden, die krebserzeugende Amine abspalten können (siehe </w:t>
      </w:r>
      <w:r w:rsidRPr="0072221A">
        <w:rPr>
          <w:rFonts w:ascii="Arial" w:eastAsia="Times New Roman" w:hAnsi="Arial" w:cs="Arial"/>
          <w:sz w:val="22"/>
          <w:szCs w:val="22"/>
          <w:lang w:eastAsia="de-DE"/>
        </w:rPr>
        <w:fldChar w:fldCharType="begin"/>
      </w:r>
      <w:r w:rsidRPr="0072221A">
        <w:rPr>
          <w:rFonts w:ascii="Arial" w:eastAsia="Times New Roman" w:hAnsi="Arial" w:cs="Arial"/>
          <w:sz w:val="22"/>
          <w:szCs w:val="22"/>
          <w:lang w:eastAsia="de-DE"/>
        </w:rPr>
        <w:instrText xml:space="preserve"> REF _Ref507579548 \r \h </w:instrText>
      </w:r>
      <w:r>
        <w:rPr>
          <w:rFonts w:ascii="Arial" w:eastAsia="Times New Roman" w:hAnsi="Arial" w:cs="Arial"/>
          <w:sz w:val="22"/>
          <w:szCs w:val="22"/>
          <w:lang w:eastAsia="de-DE"/>
        </w:rPr>
        <w:instrText xml:space="preserve"> \* MERGEFORMAT </w:instrText>
      </w:r>
      <w:r w:rsidRPr="0072221A">
        <w:rPr>
          <w:rFonts w:ascii="Arial" w:eastAsia="Times New Roman" w:hAnsi="Arial" w:cs="Arial"/>
          <w:sz w:val="22"/>
          <w:szCs w:val="22"/>
          <w:lang w:eastAsia="de-DE"/>
        </w:rPr>
      </w:r>
      <w:r w:rsidRPr="0072221A">
        <w:rPr>
          <w:rFonts w:ascii="Arial" w:eastAsia="Times New Roman" w:hAnsi="Arial" w:cs="Arial"/>
          <w:sz w:val="22"/>
          <w:szCs w:val="22"/>
          <w:lang w:eastAsia="de-DE"/>
        </w:rPr>
        <w:fldChar w:fldCharType="separate"/>
      </w:r>
      <w:r w:rsidRPr="0072221A">
        <w:rPr>
          <w:rFonts w:ascii="Arial" w:eastAsia="Times New Roman" w:hAnsi="Arial" w:cs="Arial"/>
          <w:sz w:val="22"/>
          <w:szCs w:val="22"/>
          <w:lang w:eastAsia="de-DE"/>
        </w:rPr>
        <w:t>Anhang A</w:t>
      </w:r>
      <w:r w:rsidRPr="0072221A">
        <w:rPr>
          <w:rFonts w:ascii="Arial" w:eastAsia="Times New Roman" w:hAnsi="Arial" w:cs="Arial"/>
          <w:sz w:val="22"/>
          <w:szCs w:val="22"/>
          <w:lang w:eastAsia="de-DE"/>
        </w:rPr>
        <w:fldChar w:fldCharType="end"/>
      </w:r>
      <w:r w:rsidRPr="0072221A">
        <w:rPr>
          <w:rFonts w:ascii="Arial" w:eastAsia="Times New Roman" w:hAnsi="Arial" w:cs="Arial"/>
          <w:sz w:val="22"/>
          <w:szCs w:val="22"/>
          <w:lang w:eastAsia="de-DE"/>
        </w:rPr>
        <w:t xml:space="preserve"> „Krebserzeugende aromatische Amine“). Diese Farbstoffe sind in der REACH-Verordnung (1907/2006/EG), Anhang XVII, Eintrag 43 genannt.</w:t>
      </w:r>
      <w:bookmarkEnd w:id="1"/>
      <w:r w:rsidRPr="0072221A">
        <w:rPr>
          <w:rFonts w:ascii="Arial" w:eastAsia="Times New Roman" w:hAnsi="Arial" w:cs="Arial"/>
          <w:sz w:val="22"/>
          <w:szCs w:val="22"/>
          <w:lang w:eastAsia="de-DE"/>
        </w:rPr>
        <w:t xml:space="preserve"> </w:t>
      </w:r>
    </w:p>
    <w:p w:rsidR="0072221A" w:rsidRPr="0072221A" w:rsidRDefault="0072221A" w:rsidP="0072221A">
      <w:pPr>
        <w:pStyle w:val="AufzhlungBuchstabe"/>
        <w:numPr>
          <w:ilvl w:val="6"/>
          <w:numId w:val="23"/>
        </w:numPr>
        <w:rPr>
          <w:rFonts w:ascii="Arial" w:eastAsia="Times New Roman" w:hAnsi="Arial" w:cs="Arial"/>
          <w:sz w:val="22"/>
          <w:szCs w:val="22"/>
          <w:lang w:eastAsia="de-DE"/>
        </w:rPr>
      </w:pPr>
      <w:bookmarkStart w:id="2" w:name="bookmark6"/>
      <w:bookmarkStart w:id="3" w:name="bookmark5"/>
      <w:bookmarkStart w:id="4" w:name="bookmark0"/>
      <w:bookmarkStart w:id="5" w:name="bookmark1"/>
      <w:bookmarkStart w:id="6" w:name="bookmark2"/>
      <w:bookmarkStart w:id="7" w:name="bookmark3"/>
      <w:bookmarkStart w:id="8" w:name="bookmark4"/>
      <w:bookmarkEnd w:id="2"/>
      <w:bookmarkEnd w:id="3"/>
      <w:bookmarkEnd w:id="4"/>
      <w:bookmarkEnd w:id="5"/>
      <w:bookmarkEnd w:id="6"/>
      <w:bookmarkEnd w:id="7"/>
      <w:bookmarkEnd w:id="8"/>
      <w:r w:rsidRPr="0072221A">
        <w:rPr>
          <w:rFonts w:ascii="Arial" w:eastAsia="Times New Roman" w:hAnsi="Arial" w:cs="Arial"/>
          <w:sz w:val="22"/>
          <w:szCs w:val="22"/>
          <w:lang w:eastAsia="de-DE"/>
        </w:rPr>
        <w:t>Stoffe, die entsprechend der jeweils gültigen Fassung der TRGS 905 als krebs</w:t>
      </w:r>
      <w:r w:rsidRPr="0072221A">
        <w:rPr>
          <w:rFonts w:ascii="Arial" w:eastAsia="Times New Roman" w:hAnsi="Arial" w:cs="Arial"/>
          <w:sz w:val="22"/>
          <w:szCs w:val="22"/>
          <w:lang w:eastAsia="de-DE"/>
        </w:rPr>
        <w:softHyphen/>
        <w:t>erzeugende, erbgutverändernde oder fortpflanzungsgefährdende Stoffe der Kategorien 1, 2 und 3 eingestuft sind</w:t>
      </w:r>
      <w:r w:rsidRPr="0072221A">
        <w:rPr>
          <w:rFonts w:ascii="Arial" w:eastAsia="Times New Roman" w:hAnsi="Arial" w:cs="Arial"/>
          <w:sz w:val="22"/>
          <w:szCs w:val="22"/>
          <w:lang w:eastAsia="de-DE"/>
        </w:rPr>
        <w:footnoteReference w:id="7"/>
      </w:r>
      <w:r w:rsidRPr="0072221A">
        <w:rPr>
          <w:rFonts w:ascii="Arial" w:eastAsia="Times New Roman" w:hAnsi="Arial" w:cs="Arial"/>
          <w:sz w:val="22"/>
          <w:szCs w:val="22"/>
          <w:lang w:eastAsia="de-DE"/>
        </w:rPr>
        <w:t>.</w:t>
      </w:r>
    </w:p>
    <w:p w:rsidR="0072221A" w:rsidRDefault="0072221A" w:rsidP="0072221A"/>
    <w:p w:rsidR="0072221A" w:rsidRDefault="0072221A" w:rsidP="0072221A">
      <w:bookmarkStart w:id="9" w:name="_Hlk56579746"/>
      <w:r w:rsidRPr="00E2729D">
        <w:t xml:space="preserve">Für </w:t>
      </w:r>
      <w:r w:rsidRPr="002D6DA7">
        <w:t>Dipropylenglykoldibenzoat</w:t>
      </w:r>
      <w:r>
        <w:t xml:space="preserve"> </w:t>
      </w:r>
      <w:r w:rsidRPr="00E2729D">
        <w:t>(CAS</w:t>
      </w:r>
      <w:r>
        <w:t xml:space="preserve"> </w:t>
      </w:r>
      <w:r w:rsidRPr="002D6DA7">
        <w:t>27138-31-4</w:t>
      </w:r>
      <w:r>
        <w:t xml:space="preserve">) in </w:t>
      </w:r>
      <w:r w:rsidRPr="00E2729D">
        <w:t>Schmelzklebstoffe</w:t>
      </w:r>
      <w:r>
        <w:t>n</w:t>
      </w:r>
      <w:r w:rsidRPr="00E2729D">
        <w:t xml:space="preserve"> als Nässeindikator gilt folgende Abweichung vom generellen Ausschluss von Stoffen mit bestimmten Eigenschaften: </w:t>
      </w:r>
    </w:p>
    <w:p w:rsidR="0072221A" w:rsidRPr="00E2729D" w:rsidRDefault="0072221A" w:rsidP="0072221A"/>
    <w:p w:rsidR="0072221A" w:rsidRPr="0072221A" w:rsidRDefault="0072221A" w:rsidP="0072221A">
      <w:pPr>
        <w:pStyle w:val="Standardklein"/>
        <w:rPr>
          <w:rFonts w:ascii="Arial" w:eastAsia="Times New Roman" w:hAnsi="Arial" w:cs="Arial"/>
          <w:sz w:val="22"/>
          <w:szCs w:val="22"/>
          <w:lang w:eastAsia="de-DE"/>
        </w:rPr>
      </w:pPr>
      <w:r w:rsidRPr="0072221A">
        <w:rPr>
          <w:rFonts w:ascii="Arial" w:eastAsia="Times New Roman" w:hAnsi="Arial" w:cs="Arial"/>
          <w:sz w:val="22"/>
          <w:szCs w:val="22"/>
          <w:lang w:eastAsia="de-DE"/>
        </w:rPr>
        <w:t xml:space="preserve">Tabelle </w:t>
      </w:r>
      <w:r w:rsidRPr="0072221A">
        <w:rPr>
          <w:rFonts w:ascii="Arial" w:eastAsia="Times New Roman" w:hAnsi="Arial" w:cs="Arial"/>
          <w:sz w:val="22"/>
          <w:szCs w:val="22"/>
          <w:lang w:eastAsia="de-DE"/>
        </w:rPr>
        <w:fldChar w:fldCharType="begin"/>
      </w:r>
      <w:r w:rsidRPr="0072221A">
        <w:rPr>
          <w:rFonts w:ascii="Arial" w:eastAsia="Times New Roman" w:hAnsi="Arial" w:cs="Arial"/>
          <w:sz w:val="22"/>
          <w:szCs w:val="22"/>
          <w:lang w:eastAsia="de-DE"/>
        </w:rPr>
        <w:instrText xml:space="preserve"> SEQ Tabelle \* ARABIC </w:instrText>
      </w:r>
      <w:r w:rsidRPr="0072221A">
        <w:rPr>
          <w:rFonts w:ascii="Arial" w:eastAsia="Times New Roman" w:hAnsi="Arial" w:cs="Arial"/>
          <w:sz w:val="22"/>
          <w:szCs w:val="22"/>
          <w:lang w:eastAsia="de-DE"/>
        </w:rPr>
        <w:fldChar w:fldCharType="separate"/>
      </w:r>
      <w:r w:rsidRPr="0072221A">
        <w:rPr>
          <w:rFonts w:ascii="Arial" w:eastAsia="Times New Roman" w:hAnsi="Arial" w:cs="Arial"/>
          <w:sz w:val="22"/>
          <w:szCs w:val="22"/>
          <w:lang w:eastAsia="de-DE"/>
        </w:rPr>
        <w:t>2</w:t>
      </w:r>
      <w:r w:rsidRPr="0072221A">
        <w:rPr>
          <w:rFonts w:ascii="Arial" w:eastAsia="Times New Roman" w:hAnsi="Arial" w:cs="Arial"/>
          <w:sz w:val="22"/>
          <w:szCs w:val="22"/>
          <w:lang w:eastAsia="de-DE"/>
        </w:rPr>
        <w:fldChar w:fldCharType="end"/>
      </w:r>
      <w:r w:rsidRPr="0072221A">
        <w:rPr>
          <w:rFonts w:ascii="Arial" w:eastAsia="Times New Roman" w:hAnsi="Arial" w:cs="Arial"/>
          <w:sz w:val="22"/>
          <w:szCs w:val="22"/>
          <w:lang w:eastAsia="de-DE"/>
        </w:rPr>
        <w:t>: Der folgende Stoff ist von diesem Kriterium ausgenommen</w:t>
      </w:r>
    </w:p>
    <w:tbl>
      <w:tblPr>
        <w:tblStyle w:val="TabellefrVergabegrundlage"/>
        <w:tblW w:w="9634" w:type="dxa"/>
        <w:tblInd w:w="0" w:type="dxa"/>
        <w:tblLayout w:type="fixed"/>
        <w:tblLook w:val="04A0" w:firstRow="1" w:lastRow="0" w:firstColumn="1" w:lastColumn="0" w:noHBand="0" w:noVBand="1"/>
      </w:tblPr>
      <w:tblGrid>
        <w:gridCol w:w="3397"/>
        <w:gridCol w:w="1134"/>
        <w:gridCol w:w="5103"/>
      </w:tblGrid>
      <w:tr w:rsidR="0072221A" w:rsidRPr="00D37304" w:rsidTr="00F80E02">
        <w:trPr>
          <w:cnfStyle w:val="100000000000" w:firstRow="1" w:lastRow="0" w:firstColumn="0" w:lastColumn="0" w:oddVBand="0" w:evenVBand="0" w:oddHBand="0" w:evenHBand="0" w:firstRowFirstColumn="0" w:firstRowLastColumn="0" w:lastRowFirstColumn="0" w:lastRowLastColumn="0"/>
        </w:trPr>
        <w:tc>
          <w:tcPr>
            <w:tcW w:w="3397" w:type="dxa"/>
          </w:tcPr>
          <w:p w:rsidR="0072221A" w:rsidRPr="0072221A" w:rsidRDefault="0072221A" w:rsidP="00F80E02">
            <w:pPr>
              <w:pStyle w:val="Standardfett"/>
              <w:rPr>
                <w:rFonts w:ascii="Arial" w:eastAsia="Times New Roman" w:hAnsi="Arial" w:cs="Arial"/>
                <w:b/>
                <w:sz w:val="22"/>
                <w:szCs w:val="22"/>
                <w:lang w:eastAsia="de-DE"/>
              </w:rPr>
            </w:pPr>
            <w:r w:rsidRPr="0072221A">
              <w:rPr>
                <w:rFonts w:ascii="Arial" w:eastAsia="Times New Roman" w:hAnsi="Arial" w:cs="Arial"/>
                <w:b/>
                <w:sz w:val="22"/>
                <w:szCs w:val="22"/>
                <w:lang w:eastAsia="de-DE"/>
              </w:rPr>
              <w:t>Stoff</w:t>
            </w:r>
          </w:p>
        </w:tc>
        <w:tc>
          <w:tcPr>
            <w:tcW w:w="1134" w:type="dxa"/>
          </w:tcPr>
          <w:p w:rsidR="0072221A" w:rsidRPr="0072221A" w:rsidRDefault="0072221A" w:rsidP="00F80E02">
            <w:pPr>
              <w:pStyle w:val="Standardfett"/>
              <w:rPr>
                <w:rFonts w:ascii="Arial" w:eastAsia="Times New Roman" w:hAnsi="Arial" w:cs="Arial"/>
                <w:b/>
                <w:sz w:val="22"/>
                <w:szCs w:val="22"/>
                <w:lang w:eastAsia="de-DE"/>
              </w:rPr>
            </w:pPr>
            <w:r w:rsidRPr="0072221A">
              <w:rPr>
                <w:rFonts w:ascii="Arial" w:eastAsia="Times New Roman" w:hAnsi="Arial" w:cs="Arial"/>
                <w:b/>
                <w:sz w:val="22"/>
                <w:szCs w:val="22"/>
                <w:lang w:eastAsia="de-DE"/>
              </w:rPr>
              <w:t>H-Satz</w:t>
            </w:r>
          </w:p>
        </w:tc>
        <w:tc>
          <w:tcPr>
            <w:tcW w:w="5103" w:type="dxa"/>
          </w:tcPr>
          <w:p w:rsidR="0072221A" w:rsidRPr="0072221A" w:rsidRDefault="0072221A" w:rsidP="00F80E02">
            <w:pPr>
              <w:pStyle w:val="Standardfett"/>
              <w:rPr>
                <w:rFonts w:ascii="Arial" w:eastAsia="Times New Roman" w:hAnsi="Arial" w:cs="Arial"/>
                <w:b/>
                <w:sz w:val="22"/>
                <w:szCs w:val="22"/>
                <w:lang w:eastAsia="de-DE"/>
              </w:rPr>
            </w:pPr>
            <w:r w:rsidRPr="0072221A">
              <w:rPr>
                <w:rFonts w:ascii="Arial" w:eastAsia="Times New Roman" w:hAnsi="Arial" w:cs="Arial"/>
                <w:b/>
                <w:sz w:val="22"/>
                <w:szCs w:val="22"/>
                <w:lang w:eastAsia="de-DE"/>
              </w:rPr>
              <w:t>Wortlaut</w:t>
            </w:r>
          </w:p>
        </w:tc>
      </w:tr>
      <w:tr w:rsidR="0072221A" w:rsidTr="0072221A">
        <w:trPr>
          <w:trHeight w:val="581"/>
        </w:trPr>
        <w:tc>
          <w:tcPr>
            <w:tcW w:w="3397" w:type="dxa"/>
          </w:tcPr>
          <w:p w:rsidR="0072221A" w:rsidRPr="0072221A" w:rsidRDefault="0072221A" w:rsidP="00F80E02">
            <w:pPr>
              <w:rPr>
                <w:rFonts w:eastAsia="Times New Roman"/>
                <w:lang w:eastAsia="de-DE"/>
              </w:rPr>
            </w:pPr>
            <w:r w:rsidRPr="0072221A">
              <w:rPr>
                <w:rFonts w:eastAsia="Times New Roman"/>
                <w:lang w:eastAsia="de-DE"/>
              </w:rPr>
              <w:t xml:space="preserve">Dipropylenglykoldibenzoat </w:t>
            </w:r>
            <w:r w:rsidRPr="0072221A">
              <w:rPr>
                <w:rFonts w:eastAsia="Times New Roman"/>
                <w:lang w:eastAsia="de-DE"/>
              </w:rPr>
              <w:br/>
              <w:t>(CAS 27138-31-4)</w:t>
            </w:r>
          </w:p>
        </w:tc>
        <w:tc>
          <w:tcPr>
            <w:tcW w:w="1134" w:type="dxa"/>
          </w:tcPr>
          <w:p w:rsidR="0072221A" w:rsidRPr="0072221A" w:rsidRDefault="0072221A" w:rsidP="00F80E02">
            <w:pPr>
              <w:rPr>
                <w:rFonts w:eastAsia="Times New Roman"/>
                <w:lang w:eastAsia="de-DE"/>
              </w:rPr>
            </w:pPr>
            <w:r w:rsidRPr="0072221A">
              <w:rPr>
                <w:rFonts w:eastAsia="Times New Roman"/>
                <w:lang w:eastAsia="de-DE"/>
              </w:rPr>
              <w:t>H412</w:t>
            </w:r>
          </w:p>
        </w:tc>
        <w:tc>
          <w:tcPr>
            <w:tcW w:w="5103" w:type="dxa"/>
          </w:tcPr>
          <w:p w:rsidR="0072221A" w:rsidRPr="0072221A" w:rsidRDefault="0072221A" w:rsidP="00F80E02">
            <w:pPr>
              <w:rPr>
                <w:rFonts w:eastAsia="Times New Roman"/>
                <w:lang w:eastAsia="de-DE"/>
              </w:rPr>
            </w:pPr>
            <w:r w:rsidRPr="0072221A">
              <w:rPr>
                <w:rFonts w:eastAsia="Times New Roman"/>
                <w:lang w:eastAsia="de-DE"/>
              </w:rPr>
              <w:t>Schädlich für Wasserorganismen, mit langfristiger Wirkung</w:t>
            </w:r>
          </w:p>
        </w:tc>
      </w:tr>
      <w:bookmarkEnd w:id="9"/>
    </w:tbl>
    <w:p w:rsidR="00F22662" w:rsidRPr="0072221A" w:rsidRDefault="00F22662" w:rsidP="00F22662">
      <w:pPr>
        <w:pStyle w:val="Textkrper"/>
        <w:tabs>
          <w:tab w:val="clear" w:pos="3119"/>
        </w:tabs>
        <w:spacing w:before="20" w:after="20" w:line="240" w:lineRule="auto"/>
        <w:jc w:val="both"/>
        <w:rPr>
          <w:sz w:val="22"/>
        </w:rPr>
      </w:pPr>
    </w:p>
    <w:p w:rsidR="00F22662" w:rsidRDefault="00F2266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Pr="00F22662" w:rsidRDefault="00B458A2" w:rsidP="00F22662">
      <w:pPr>
        <w:pStyle w:val="Textkrper"/>
        <w:tabs>
          <w:tab w:val="clear" w:pos="3119"/>
        </w:tabs>
        <w:spacing w:before="20" w:after="20" w:line="240" w:lineRule="auto"/>
        <w:jc w:val="both"/>
        <w:rPr>
          <w:b/>
          <w:sz w:val="22"/>
        </w:rPr>
      </w:pP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Ort:</w:t>
      </w:r>
      <w:r>
        <w:rPr>
          <w:sz w:val="22"/>
        </w:rPr>
        <w:tab/>
      </w:r>
      <w:r>
        <w:rPr>
          <w:sz w:val="22"/>
        </w:rPr>
        <w:fldChar w:fldCharType="begin">
          <w:ffData>
            <w:name w:val="Text59"/>
            <w:enabled/>
            <w:calcOnExit w:val="0"/>
            <w:textInput>
              <w:maxLength w:val="30"/>
            </w:textInput>
          </w:ffData>
        </w:fldChar>
      </w:r>
      <w:bookmarkStart w:id="10" w:name="Text59"/>
      <w:r>
        <w:rPr>
          <w:sz w:val="22"/>
        </w:rPr>
        <w:instrText xml:space="preserve"> FORMTEXT </w:instrText>
      </w:r>
      <w:r>
        <w:rPr>
          <w:sz w:val="22"/>
        </w:rPr>
      </w:r>
      <w:r>
        <w:rPr>
          <w:sz w:val="22"/>
        </w:rPr>
        <w:fldChar w:fldCharType="separate"/>
      </w:r>
      <w:bookmarkStart w:id="11" w:name="_GoBack"/>
      <w:r>
        <w:rPr>
          <w:noProof/>
          <w:sz w:val="22"/>
        </w:rPr>
        <w:t> </w:t>
      </w:r>
      <w:r>
        <w:rPr>
          <w:noProof/>
          <w:sz w:val="22"/>
        </w:rPr>
        <w:t> </w:t>
      </w:r>
      <w:r>
        <w:rPr>
          <w:noProof/>
          <w:sz w:val="22"/>
        </w:rPr>
        <w:t> </w:t>
      </w:r>
      <w:r>
        <w:rPr>
          <w:noProof/>
          <w:sz w:val="22"/>
        </w:rPr>
        <w:t> </w:t>
      </w:r>
      <w:r>
        <w:rPr>
          <w:noProof/>
          <w:sz w:val="22"/>
        </w:rPr>
        <w:t> </w:t>
      </w:r>
      <w:bookmarkEnd w:id="11"/>
      <w:r>
        <w:fldChar w:fldCharType="end"/>
      </w:r>
      <w:bookmarkEnd w:id="10"/>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Datum:</w:t>
      </w:r>
      <w:r>
        <w:rPr>
          <w:sz w:val="22"/>
        </w:rPr>
        <w:tab/>
      </w:r>
      <w:r>
        <w:rPr>
          <w:sz w:val="22"/>
        </w:rPr>
        <w:fldChar w:fldCharType="begin">
          <w:ffData>
            <w:name w:val="Text60"/>
            <w:enabled/>
            <w:calcOnExit w:val="0"/>
            <w:textInput>
              <w:maxLength w:val="10"/>
            </w:textInput>
          </w:ffData>
        </w:fldChar>
      </w:r>
      <w:bookmarkStart w:id="12"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fldChar w:fldCharType="end"/>
      </w:r>
      <w:bookmarkEnd w:id="12"/>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(rechtsverbindliche Unterschrift</w:t>
      </w:r>
    </w:p>
    <w:p w:rsidR="003E3EF1" w:rsidRDefault="003E3EF1" w:rsidP="009A2D69">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und Firmenstempel)</w:t>
      </w:r>
      <w:r>
        <w:rPr>
          <w:sz w:val="22"/>
        </w:rPr>
        <w:tab/>
      </w:r>
    </w:p>
    <w:sectPr w:rsidR="003E3EF1" w:rsidSect="005159A2">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F92" w:rsidRDefault="00274F92">
      <w:r>
        <w:separator/>
      </w:r>
    </w:p>
    <w:p w:rsidR="00274F92" w:rsidRDefault="00274F92"/>
    <w:p w:rsidR="00274F92" w:rsidRDefault="00274F92" w:rsidP="0050007C"/>
    <w:p w:rsidR="00274F92" w:rsidRDefault="00274F92"/>
    <w:p w:rsidR="00274F92" w:rsidRDefault="00274F92"/>
  </w:endnote>
  <w:end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Fuzeile"/>
    </w:pPr>
  </w:p>
  <w:p w:rsidR="00274F92" w:rsidRDefault="00274F92"/>
  <w:p w:rsidR="00274F92" w:rsidRDefault="00274F92" w:rsidP="0050007C"/>
  <w:p w:rsidR="00274F92" w:rsidRDefault="00274F92" w:rsidP="0050007C"/>
  <w:p w:rsidR="00274F92" w:rsidRDefault="00274F92"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7728D4" w:rsidP="00E41019">
    <w:pPr>
      <w:pStyle w:val="Fuzeile"/>
    </w:pPr>
    <w:r>
      <w:t xml:space="preserve">08-02-2021 </w:t>
    </w:r>
    <w:r w:rsidR="004A0EB0">
      <w:t xml:space="preserve">Anlage </w:t>
    </w:r>
    <w:r w:rsidR="00A77CD2">
      <w:t>1</w:t>
    </w:r>
    <w:r w:rsidR="0072221A">
      <w:t>9</w:t>
    </w:r>
    <w:r>
      <w:t xml:space="preserve"> zum Vertrag</w:t>
    </w:r>
    <w:r w:rsidR="00274F92">
      <w:tab/>
    </w:r>
    <w:r w:rsidR="004A0EB0">
      <w:ptab w:relativeTo="margin" w:alignment="center" w:leader="none"/>
    </w:r>
    <w:r w:rsidR="00274F92">
      <w:rPr>
        <w:rStyle w:val="Seitenzahl"/>
      </w:rPr>
      <w:fldChar w:fldCharType="begin"/>
    </w:r>
    <w:r w:rsidR="00274F92">
      <w:rPr>
        <w:rStyle w:val="Seitenzahl"/>
      </w:rPr>
      <w:instrText xml:space="preserve"> PAGE </w:instrText>
    </w:r>
    <w:r w:rsidR="00274F92">
      <w:rPr>
        <w:rStyle w:val="Seitenzahl"/>
      </w:rPr>
      <w:fldChar w:fldCharType="separate"/>
    </w:r>
    <w:r w:rsidR="00C02FB9">
      <w:rPr>
        <w:rStyle w:val="Seitenzahl"/>
        <w:noProof/>
      </w:rPr>
      <w:t>1</w:t>
    </w:r>
    <w:r w:rsidR="00274F92">
      <w:rPr>
        <w:rStyle w:val="Seitenzahl"/>
      </w:rPr>
      <w:fldChar w:fldCharType="end"/>
    </w:r>
    <w:r w:rsidR="00274F92">
      <w:t>/</w:t>
    </w:r>
    <w:fldSimple w:instr=" NUMPAGES   \* MERGEFORMAT ">
      <w:r w:rsidR="00C02FB9">
        <w:rPr>
          <w:noProof/>
        </w:rPr>
        <w:t>2</w:t>
      </w:r>
    </w:fldSimple>
    <w:r w:rsidR="004A0EB0">
      <w:ptab w:relativeTo="margin" w:alignment="right" w:leader="none"/>
    </w:r>
    <w:r w:rsidR="004A0EB0">
      <w:t>DE</w:t>
    </w:r>
    <w:r w:rsidR="00274F92">
      <w:t>-UZ 20</w:t>
    </w:r>
    <w:r w:rsidR="004A0EB0">
      <w:t>8 Ausgabe Januar 20</w:t>
    </w:r>
    <w:r w:rsidR="00F853B1">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F92" w:rsidRDefault="00274F92">
      <w:r>
        <w:separator/>
      </w:r>
    </w:p>
  </w:footnote>
  <w:foot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footnote>
  <w:footnote w:id="1">
    <w:p w:rsidR="0072221A" w:rsidRPr="007674AA" w:rsidRDefault="0072221A" w:rsidP="0072221A">
      <w:pPr>
        <w:pStyle w:val="Funotentext"/>
      </w:pPr>
      <w:r w:rsidRPr="00346EFD">
        <w:rPr>
          <w:rStyle w:val="Funotenzeichen"/>
        </w:rPr>
        <w:footnoteRef/>
      </w:r>
      <w:r w:rsidRPr="007674AA">
        <w:t xml:space="preserve"> </w:t>
      </w:r>
      <w:r w:rsidRPr="007674AA">
        <w:tab/>
        <w:t>Konstitutionelle Bestandteile sind Stoffe oder Gemische, die dem Produkt oder dem Vorprodukt zugegeben werden und dort unverändert verbleiben, um bestimmte Produkteigenschaften zu erreichen oder zu beeinflussen und solche, die als chemische Spaltprodukte zur Erzielung der Produkteigenschaften erforderlich sind. Auf ein Minimum reduzierte Restmonomere und technisch unvermeidbare Verunreinigungen fallen beispielsweise nicht darunter. Sofern erforderlich, werden diese in eigenen Anforderungen adressiert.</w:t>
      </w:r>
    </w:p>
  </w:footnote>
  <w:footnote w:id="2">
    <w:p w:rsidR="0072221A" w:rsidRPr="007674AA" w:rsidRDefault="0072221A" w:rsidP="0072221A">
      <w:pPr>
        <w:pStyle w:val="Funotentext"/>
      </w:pPr>
      <w:r w:rsidRPr="00346EFD">
        <w:rPr>
          <w:rStyle w:val="Funotenzeichen"/>
        </w:rPr>
        <w:footnoteRef/>
      </w:r>
      <w:r w:rsidRPr="00346EFD">
        <w:rPr>
          <w:rStyle w:val="Funotenzeichen"/>
        </w:rPr>
        <w:t xml:space="preserve"> </w:t>
      </w:r>
      <w:r w:rsidRPr="007674AA">
        <w:tab/>
        <w:t xml:space="preserve">Hierunter fallen nicht Prozesschemikalien. Das zur Herstellung von Elastikfasern eingesetzte </w:t>
      </w:r>
      <w:proofErr w:type="spellStart"/>
      <w:r w:rsidRPr="007674AA">
        <w:t>Dimethylacetamid</w:t>
      </w:r>
      <w:proofErr w:type="spellEnd"/>
      <w:r w:rsidRPr="007674AA">
        <w:t xml:space="preserve"> (</w:t>
      </w:r>
      <w:proofErr w:type="spellStart"/>
      <w:r w:rsidRPr="007674AA">
        <w:t>DMAc</w:t>
      </w:r>
      <w:proofErr w:type="spellEnd"/>
      <w:r w:rsidRPr="007674AA">
        <w:t>) gilt als Prozesschemikalie.</w:t>
      </w:r>
    </w:p>
  </w:footnote>
  <w:footnote w:id="3">
    <w:p w:rsidR="0072221A" w:rsidRPr="007674AA" w:rsidRDefault="0072221A" w:rsidP="0072221A">
      <w:pPr>
        <w:pStyle w:val="Funotentext"/>
      </w:pPr>
      <w:r w:rsidRPr="00346EFD">
        <w:rPr>
          <w:rStyle w:val="Funotenzeichen"/>
        </w:rPr>
        <w:footnoteRef/>
      </w:r>
      <w:r w:rsidRPr="007674AA">
        <w:t xml:space="preserve"> </w:t>
      </w:r>
      <w:r w:rsidRPr="007674AA">
        <w:tab/>
        <w:t xml:space="preserve">Die Kandidatenliste in der jeweils aktuellen Fassung findet sich unter: </w:t>
      </w:r>
      <w:hyperlink r:id="rId1" w:history="1">
        <w:r w:rsidRPr="007674AA">
          <w:rPr>
            <w:rStyle w:val="Hyperlink"/>
          </w:rPr>
          <w:t>http://echa.europa.eu/web/guest/candidate-list-table</w:t>
        </w:r>
      </w:hyperlink>
    </w:p>
  </w:footnote>
  <w:footnote w:id="4">
    <w:p w:rsidR="0072221A" w:rsidRDefault="0072221A" w:rsidP="0072221A">
      <w:pPr>
        <w:pStyle w:val="Funotentext"/>
      </w:pPr>
      <w:r w:rsidRPr="00346EFD">
        <w:rPr>
          <w:rStyle w:val="Funotenzeichen"/>
        </w:rPr>
        <w:footnoteRef/>
      </w:r>
      <w:r w:rsidRPr="007674AA">
        <w:t xml:space="preserve"> </w:t>
      </w:r>
      <w:r w:rsidRPr="007674AA">
        <w:tab/>
        <w:t>Verordnung (EG) Nr. 1272/2008 über die Einstufung, Kennzeichnung und Verpackung von Stoffen und Gemischen.</w:t>
      </w:r>
      <w:r>
        <w:t xml:space="preserve"> </w:t>
      </w:r>
    </w:p>
  </w:footnote>
  <w:footnote w:id="5">
    <w:p w:rsidR="0072221A" w:rsidRPr="007674AA" w:rsidRDefault="0072221A" w:rsidP="0072221A">
      <w:pPr>
        <w:pStyle w:val="Funotentext"/>
      </w:pPr>
      <w:r w:rsidRPr="0033046D">
        <w:rPr>
          <w:rStyle w:val="Funotenzeichen"/>
        </w:rPr>
        <w:footnoteRef/>
      </w:r>
      <w:r>
        <w:t xml:space="preserve"> </w:t>
      </w:r>
      <w:r w:rsidRPr="007674AA">
        <w:tab/>
        <w:t>Die harmonisierten Einstufungen und Kennzeichnungen gef</w:t>
      </w:r>
      <w:r>
        <w:t xml:space="preserve">ährlicher Stoffe finden sich in </w:t>
      </w:r>
      <w:r w:rsidRPr="007674AA">
        <w:t xml:space="preserve">Anhang VI, Teil 3 der CLP-Verordnung. Weiterhin ist auf der Internetseite der Europäischen Chemikalienagentur ECHA ein umfassendes Einstufungs- und Kennzeichnungsverzeichnis öffentlich zugänglich, das darüber hinaus alle Selbsteinstufungen von gefährlichen Stoffen durch die Hersteller enthält: </w:t>
      </w:r>
      <w:hyperlink r:id="rId2" w:history="1">
        <w:r w:rsidRPr="007674AA">
          <w:rPr>
            <w:rStyle w:val="Hyperlink"/>
          </w:rPr>
          <w:t>ECHA Einstufungs- und Kennzeichnungsverzeichnis.</w:t>
        </w:r>
      </w:hyperlink>
    </w:p>
  </w:footnote>
  <w:footnote w:id="6">
    <w:p w:rsidR="0072221A" w:rsidRDefault="0072221A" w:rsidP="0072221A">
      <w:pPr>
        <w:pStyle w:val="Funotentext"/>
      </w:pPr>
      <w:r>
        <w:rPr>
          <w:rStyle w:val="Funotenzeichen"/>
        </w:rPr>
        <w:footnoteRef/>
      </w:r>
      <w:r>
        <w:t xml:space="preserve"> </w:t>
      </w:r>
      <w:r>
        <w:tab/>
      </w:r>
      <w:r w:rsidRPr="00AC53CA">
        <w:t>Ausgenommen Titandioxid, da sich die Einstufung nur auf einatembare Stäube bezieht.</w:t>
      </w:r>
    </w:p>
  </w:footnote>
  <w:footnote w:id="7">
    <w:p w:rsidR="0072221A" w:rsidRPr="007674AA" w:rsidRDefault="0072221A" w:rsidP="0072221A">
      <w:pPr>
        <w:pStyle w:val="Funotentext"/>
      </w:pPr>
      <w:r w:rsidRPr="0033046D">
        <w:rPr>
          <w:rStyle w:val="Funotenzeichen"/>
        </w:rPr>
        <w:footnoteRef/>
      </w:r>
      <w:r w:rsidRPr="007674AA">
        <w:t xml:space="preserve"> </w:t>
      </w:r>
      <w:r w:rsidRPr="007674AA">
        <w:tab/>
      </w:r>
      <w:hyperlink r:id="rId3" w:history="1">
        <w:r w:rsidRPr="007674AA">
          <w:rPr>
            <w:rStyle w:val="Hyperlink"/>
          </w:rPr>
          <w:t>TRGS 905</w:t>
        </w:r>
      </w:hyperlink>
      <w:r w:rsidRPr="007674AA">
        <w:t xml:space="preserve">, Verzeichnis krebserzeugender, erbgutverändernder oder fortpflanzungsgefährdender Stoffe </w:t>
      </w:r>
      <w:proofErr w:type="gramStart"/>
      <w:r w:rsidRPr="007674AA">
        <w:t>des Ausschuss</w:t>
      </w:r>
      <w:proofErr w:type="gramEnd"/>
      <w:r w:rsidRPr="007674AA">
        <w:t xml:space="preserve"> für Gefahrstoffe (AGS). Es gilt die bei Antragstellung aktuelle Fassung. Die TRGS führt solche CMR-Stoffe auf, die bislang nicht harmonisiert eingestuft sind bzw. bei denen der AGS zu einer abweichenden Einstufung kommt.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Kopfzeile"/>
    </w:pPr>
  </w:p>
  <w:p w:rsidR="00274F92" w:rsidRDefault="00274F92"/>
  <w:p w:rsidR="00274F92" w:rsidRDefault="00274F92" w:rsidP="0050007C"/>
  <w:p w:rsidR="00274F92" w:rsidRDefault="00274F92" w:rsidP="0050007C"/>
  <w:p w:rsidR="00274F92" w:rsidRDefault="00274F92"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rsidP="00C83B8A">
    <w:pPr>
      <w:pStyle w:val="Kopfzeile"/>
      <w:jc w:val="right"/>
    </w:pPr>
    <w:r>
      <w:rPr>
        <w:noProof/>
      </w:rPr>
      <w:drawing>
        <wp:inline distT="0" distB="0" distL="0" distR="0" wp14:anchorId="3B9E5A45" wp14:editId="44F9D245">
          <wp:extent cx="885825" cy="618069"/>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85825" cy="618069"/>
                  </a:xfrm>
                  <a:prstGeom prst="rect">
                    <a:avLst/>
                  </a:prstGeom>
                  <a:noFill/>
                  <a:ln>
                    <a:noFill/>
                  </a:ln>
                </pic:spPr>
              </pic:pic>
            </a:graphicData>
          </a:graphic>
        </wp:inline>
      </w:drawing>
    </w:r>
  </w:p>
  <w:p w:rsidR="00274F92" w:rsidRDefault="00274F92" w:rsidP="00C83B8A">
    <w:pPr>
      <w:pStyle w:val="Kopfzeile"/>
      <w:jc w:val="right"/>
    </w:pPr>
  </w:p>
  <w:p w:rsidR="00274F92" w:rsidRDefault="00274F92"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0346"/>
        </w:tabs>
        <w:ind w:left="10346"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0D187B"/>
    <w:multiLevelType w:val="hybridMultilevel"/>
    <w:tmpl w:val="D958B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7"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977EEB"/>
    <w:multiLevelType w:val="hybridMultilevel"/>
    <w:tmpl w:val="90CEA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6A704E"/>
    <w:multiLevelType w:val="hybridMultilevel"/>
    <w:tmpl w:val="E09C70D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1" w15:restartNumberingAfterBreak="0">
    <w:nsid w:val="22A66580"/>
    <w:multiLevelType w:val="hybridMultilevel"/>
    <w:tmpl w:val="A5A4FC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23E959C8"/>
    <w:multiLevelType w:val="hybridMultilevel"/>
    <w:tmpl w:val="4BF8C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A12CE6"/>
    <w:multiLevelType w:val="hybridMultilevel"/>
    <w:tmpl w:val="1276A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10A06"/>
    <w:multiLevelType w:val="hybridMultilevel"/>
    <w:tmpl w:val="87121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A3B54E0"/>
    <w:multiLevelType w:val="hybridMultilevel"/>
    <w:tmpl w:val="B0F4FDDA"/>
    <w:lvl w:ilvl="0" w:tplc="2EC82E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EDD1F5B"/>
    <w:multiLevelType w:val="hybridMultilevel"/>
    <w:tmpl w:val="4F640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CE62E2"/>
    <w:multiLevelType w:val="hybridMultilevel"/>
    <w:tmpl w:val="603C6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3572F3B"/>
    <w:multiLevelType w:val="hybridMultilevel"/>
    <w:tmpl w:val="5DB8BBC2"/>
    <w:lvl w:ilvl="0" w:tplc="74729C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6086596"/>
    <w:multiLevelType w:val="hybridMultilevel"/>
    <w:tmpl w:val="CDD0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6"/>
  </w:num>
  <w:num w:numId="4">
    <w:abstractNumId w:val="18"/>
  </w:num>
  <w:num w:numId="5">
    <w:abstractNumId w:val="4"/>
  </w:num>
  <w:num w:numId="6">
    <w:abstractNumId w:val="3"/>
  </w:num>
  <w:num w:numId="7">
    <w:abstractNumId w:val="2"/>
  </w:num>
  <w:num w:numId="8">
    <w:abstractNumId w:val="1"/>
  </w:num>
  <w:num w:numId="9">
    <w:abstractNumId w:val="0"/>
  </w:num>
  <w:num w:numId="10">
    <w:abstractNumId w:val="15"/>
  </w:num>
  <w:num w:numId="11">
    <w:abstractNumId w:val="20"/>
  </w:num>
  <w:num w:numId="12">
    <w:abstractNumId w:val="5"/>
  </w:num>
  <w:num w:numId="13">
    <w:abstractNumId w:val="16"/>
  </w:num>
  <w:num w:numId="14">
    <w:abstractNumId w:val="21"/>
  </w:num>
  <w:num w:numId="15">
    <w:abstractNumId w:val="12"/>
  </w:num>
  <w:num w:numId="16">
    <w:abstractNumId w:val="13"/>
  </w:num>
  <w:num w:numId="17">
    <w:abstractNumId w:val="19"/>
  </w:num>
  <w:num w:numId="18">
    <w:abstractNumId w:val="11"/>
  </w:num>
  <w:num w:numId="19">
    <w:abstractNumId w:val="8"/>
  </w:num>
  <w:num w:numId="20">
    <w:abstractNumId w:val="22"/>
  </w:num>
  <w:num w:numId="21">
    <w:abstractNumId w:val="1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q6eDc9r/SAdmLlsD55dvHR7+4wACIyM1beKxBmslYs9WXYPTCiU0C1DHm2pgW4KdtJITy27tLbZJeM68gBQ0fg==" w:salt="fDXBgvkYuhEQOWyXOJhn6g=="/>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559F"/>
    <w:rsid w:val="00006F5D"/>
    <w:rsid w:val="00010638"/>
    <w:rsid w:val="0001304D"/>
    <w:rsid w:val="000132C8"/>
    <w:rsid w:val="00016B19"/>
    <w:rsid w:val="00017B60"/>
    <w:rsid w:val="0002001B"/>
    <w:rsid w:val="00021125"/>
    <w:rsid w:val="00023B55"/>
    <w:rsid w:val="00023FFD"/>
    <w:rsid w:val="00024631"/>
    <w:rsid w:val="00024D2A"/>
    <w:rsid w:val="000322DC"/>
    <w:rsid w:val="000336E5"/>
    <w:rsid w:val="000337EB"/>
    <w:rsid w:val="000349B9"/>
    <w:rsid w:val="000352CA"/>
    <w:rsid w:val="000407FF"/>
    <w:rsid w:val="00040881"/>
    <w:rsid w:val="0004223E"/>
    <w:rsid w:val="0004315D"/>
    <w:rsid w:val="00047575"/>
    <w:rsid w:val="00051146"/>
    <w:rsid w:val="0005602D"/>
    <w:rsid w:val="0005611B"/>
    <w:rsid w:val="000570B4"/>
    <w:rsid w:val="00057A7E"/>
    <w:rsid w:val="00060160"/>
    <w:rsid w:val="00060221"/>
    <w:rsid w:val="00060876"/>
    <w:rsid w:val="00063962"/>
    <w:rsid w:val="0006627D"/>
    <w:rsid w:val="0007395D"/>
    <w:rsid w:val="00075311"/>
    <w:rsid w:val="00077406"/>
    <w:rsid w:val="000815AE"/>
    <w:rsid w:val="00081750"/>
    <w:rsid w:val="00086EE7"/>
    <w:rsid w:val="000901DC"/>
    <w:rsid w:val="00091EF2"/>
    <w:rsid w:val="00092B9D"/>
    <w:rsid w:val="00093BFD"/>
    <w:rsid w:val="00095ED0"/>
    <w:rsid w:val="00096F7C"/>
    <w:rsid w:val="000A35CC"/>
    <w:rsid w:val="000A4915"/>
    <w:rsid w:val="000A5108"/>
    <w:rsid w:val="000B0928"/>
    <w:rsid w:val="000B2483"/>
    <w:rsid w:val="000B33B5"/>
    <w:rsid w:val="000B5DDF"/>
    <w:rsid w:val="000B62A3"/>
    <w:rsid w:val="000C4C8C"/>
    <w:rsid w:val="000C4D12"/>
    <w:rsid w:val="000D104C"/>
    <w:rsid w:val="000D3A49"/>
    <w:rsid w:val="000D756B"/>
    <w:rsid w:val="000D7FCC"/>
    <w:rsid w:val="000E0FF2"/>
    <w:rsid w:val="000E27AE"/>
    <w:rsid w:val="000E3FF9"/>
    <w:rsid w:val="000E5FCB"/>
    <w:rsid w:val="000E60D8"/>
    <w:rsid w:val="000F076C"/>
    <w:rsid w:val="000F1DDC"/>
    <w:rsid w:val="000F2ED8"/>
    <w:rsid w:val="000F73A0"/>
    <w:rsid w:val="000F7971"/>
    <w:rsid w:val="00102688"/>
    <w:rsid w:val="00103C8E"/>
    <w:rsid w:val="00105E39"/>
    <w:rsid w:val="00106B61"/>
    <w:rsid w:val="00107296"/>
    <w:rsid w:val="001102A9"/>
    <w:rsid w:val="00110406"/>
    <w:rsid w:val="00111059"/>
    <w:rsid w:val="0011107A"/>
    <w:rsid w:val="00111295"/>
    <w:rsid w:val="0011237F"/>
    <w:rsid w:val="0011274A"/>
    <w:rsid w:val="001132C0"/>
    <w:rsid w:val="00116BEA"/>
    <w:rsid w:val="00117228"/>
    <w:rsid w:val="00117BE5"/>
    <w:rsid w:val="00120952"/>
    <w:rsid w:val="00122B8C"/>
    <w:rsid w:val="00123116"/>
    <w:rsid w:val="00124EE5"/>
    <w:rsid w:val="00125A24"/>
    <w:rsid w:val="00127145"/>
    <w:rsid w:val="00135190"/>
    <w:rsid w:val="0013591F"/>
    <w:rsid w:val="00135AAD"/>
    <w:rsid w:val="00137532"/>
    <w:rsid w:val="00137F85"/>
    <w:rsid w:val="00141CBE"/>
    <w:rsid w:val="0014654A"/>
    <w:rsid w:val="0014704E"/>
    <w:rsid w:val="0015045F"/>
    <w:rsid w:val="0015188D"/>
    <w:rsid w:val="00152E45"/>
    <w:rsid w:val="001543CB"/>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0726"/>
    <w:rsid w:val="001931F3"/>
    <w:rsid w:val="001936B6"/>
    <w:rsid w:val="00193DDD"/>
    <w:rsid w:val="00195911"/>
    <w:rsid w:val="00195D6C"/>
    <w:rsid w:val="001A3053"/>
    <w:rsid w:val="001A4373"/>
    <w:rsid w:val="001A4A7E"/>
    <w:rsid w:val="001B1B87"/>
    <w:rsid w:val="001B22C2"/>
    <w:rsid w:val="001B280C"/>
    <w:rsid w:val="001B3B15"/>
    <w:rsid w:val="001B411D"/>
    <w:rsid w:val="001B4AD2"/>
    <w:rsid w:val="001B7CD6"/>
    <w:rsid w:val="001C0F13"/>
    <w:rsid w:val="001C159D"/>
    <w:rsid w:val="001C240C"/>
    <w:rsid w:val="001C2871"/>
    <w:rsid w:val="001C439E"/>
    <w:rsid w:val="001C6A96"/>
    <w:rsid w:val="001D0E7D"/>
    <w:rsid w:val="001D2A50"/>
    <w:rsid w:val="001D3C0B"/>
    <w:rsid w:val="001D5874"/>
    <w:rsid w:val="001D658B"/>
    <w:rsid w:val="001D7E3D"/>
    <w:rsid w:val="001D7E86"/>
    <w:rsid w:val="001E092B"/>
    <w:rsid w:val="001E0DFF"/>
    <w:rsid w:val="001E15F4"/>
    <w:rsid w:val="001E4CDF"/>
    <w:rsid w:val="001E668E"/>
    <w:rsid w:val="001E6CF4"/>
    <w:rsid w:val="001E6D5F"/>
    <w:rsid w:val="001F07A2"/>
    <w:rsid w:val="001F0CB6"/>
    <w:rsid w:val="001F0D0B"/>
    <w:rsid w:val="001F1317"/>
    <w:rsid w:val="001F1C81"/>
    <w:rsid w:val="001F3966"/>
    <w:rsid w:val="001F49F2"/>
    <w:rsid w:val="001F4BFA"/>
    <w:rsid w:val="002005D5"/>
    <w:rsid w:val="00200BBE"/>
    <w:rsid w:val="00201086"/>
    <w:rsid w:val="0020192B"/>
    <w:rsid w:val="00205376"/>
    <w:rsid w:val="00206B8C"/>
    <w:rsid w:val="00207456"/>
    <w:rsid w:val="00212136"/>
    <w:rsid w:val="0021493F"/>
    <w:rsid w:val="002152B8"/>
    <w:rsid w:val="00215A0B"/>
    <w:rsid w:val="00216EE9"/>
    <w:rsid w:val="00217624"/>
    <w:rsid w:val="00217796"/>
    <w:rsid w:val="00222056"/>
    <w:rsid w:val="00223147"/>
    <w:rsid w:val="002336E2"/>
    <w:rsid w:val="00233DB7"/>
    <w:rsid w:val="00234E20"/>
    <w:rsid w:val="00236B55"/>
    <w:rsid w:val="002415CE"/>
    <w:rsid w:val="00241B89"/>
    <w:rsid w:val="00242CDA"/>
    <w:rsid w:val="00244B1F"/>
    <w:rsid w:val="00246554"/>
    <w:rsid w:val="002471C5"/>
    <w:rsid w:val="0025146D"/>
    <w:rsid w:val="00251A58"/>
    <w:rsid w:val="00251E2C"/>
    <w:rsid w:val="00252945"/>
    <w:rsid w:val="00253437"/>
    <w:rsid w:val="00253D91"/>
    <w:rsid w:val="00253DDA"/>
    <w:rsid w:val="00255E99"/>
    <w:rsid w:val="002564D7"/>
    <w:rsid w:val="00257542"/>
    <w:rsid w:val="00260349"/>
    <w:rsid w:val="00261EA1"/>
    <w:rsid w:val="00261F73"/>
    <w:rsid w:val="00263DE9"/>
    <w:rsid w:val="002656B4"/>
    <w:rsid w:val="00266629"/>
    <w:rsid w:val="002669BB"/>
    <w:rsid w:val="002703A0"/>
    <w:rsid w:val="00273B5D"/>
    <w:rsid w:val="00274F92"/>
    <w:rsid w:val="0027736F"/>
    <w:rsid w:val="00280E6B"/>
    <w:rsid w:val="0028106B"/>
    <w:rsid w:val="00281C98"/>
    <w:rsid w:val="0028236E"/>
    <w:rsid w:val="0028365E"/>
    <w:rsid w:val="002844B8"/>
    <w:rsid w:val="00285336"/>
    <w:rsid w:val="00287966"/>
    <w:rsid w:val="0029099C"/>
    <w:rsid w:val="00291181"/>
    <w:rsid w:val="002925CD"/>
    <w:rsid w:val="00292735"/>
    <w:rsid w:val="0029498A"/>
    <w:rsid w:val="002A0BE8"/>
    <w:rsid w:val="002A16AD"/>
    <w:rsid w:val="002A4AA0"/>
    <w:rsid w:val="002A601C"/>
    <w:rsid w:val="002A6B44"/>
    <w:rsid w:val="002A7A9D"/>
    <w:rsid w:val="002B0D69"/>
    <w:rsid w:val="002B2AD9"/>
    <w:rsid w:val="002B3461"/>
    <w:rsid w:val="002B35F5"/>
    <w:rsid w:val="002B4F3D"/>
    <w:rsid w:val="002B5928"/>
    <w:rsid w:val="002B6DEC"/>
    <w:rsid w:val="002B6EE5"/>
    <w:rsid w:val="002B742B"/>
    <w:rsid w:val="002B7CE5"/>
    <w:rsid w:val="002C03E8"/>
    <w:rsid w:val="002C16B5"/>
    <w:rsid w:val="002C2FC2"/>
    <w:rsid w:val="002C3D08"/>
    <w:rsid w:val="002D3032"/>
    <w:rsid w:val="002D3FE2"/>
    <w:rsid w:val="002D4D5E"/>
    <w:rsid w:val="002D4E70"/>
    <w:rsid w:val="002D7B8A"/>
    <w:rsid w:val="002E0790"/>
    <w:rsid w:val="002E2707"/>
    <w:rsid w:val="002E291B"/>
    <w:rsid w:val="002E35CF"/>
    <w:rsid w:val="002E4784"/>
    <w:rsid w:val="002E5A1A"/>
    <w:rsid w:val="002E629B"/>
    <w:rsid w:val="002E6BBB"/>
    <w:rsid w:val="002E6E57"/>
    <w:rsid w:val="002F0295"/>
    <w:rsid w:val="002F1626"/>
    <w:rsid w:val="002F4983"/>
    <w:rsid w:val="002F522E"/>
    <w:rsid w:val="002F568D"/>
    <w:rsid w:val="002F59D0"/>
    <w:rsid w:val="002F6948"/>
    <w:rsid w:val="003016DD"/>
    <w:rsid w:val="00302ED5"/>
    <w:rsid w:val="003071C9"/>
    <w:rsid w:val="003115E3"/>
    <w:rsid w:val="00311CF7"/>
    <w:rsid w:val="00314675"/>
    <w:rsid w:val="00316F23"/>
    <w:rsid w:val="00321AE6"/>
    <w:rsid w:val="00323916"/>
    <w:rsid w:val="00326248"/>
    <w:rsid w:val="003308F4"/>
    <w:rsid w:val="00330C0C"/>
    <w:rsid w:val="00332749"/>
    <w:rsid w:val="003345CE"/>
    <w:rsid w:val="003363F0"/>
    <w:rsid w:val="003371F1"/>
    <w:rsid w:val="00342C0D"/>
    <w:rsid w:val="00345A2C"/>
    <w:rsid w:val="00346616"/>
    <w:rsid w:val="00346F3E"/>
    <w:rsid w:val="00356883"/>
    <w:rsid w:val="00357909"/>
    <w:rsid w:val="003608A8"/>
    <w:rsid w:val="0036345A"/>
    <w:rsid w:val="003650F1"/>
    <w:rsid w:val="00365741"/>
    <w:rsid w:val="00366580"/>
    <w:rsid w:val="003819D5"/>
    <w:rsid w:val="0038204A"/>
    <w:rsid w:val="0038227B"/>
    <w:rsid w:val="00382A78"/>
    <w:rsid w:val="00382BC1"/>
    <w:rsid w:val="00382D2A"/>
    <w:rsid w:val="00384B84"/>
    <w:rsid w:val="00386DE2"/>
    <w:rsid w:val="00390C29"/>
    <w:rsid w:val="00392F6D"/>
    <w:rsid w:val="00393453"/>
    <w:rsid w:val="00393645"/>
    <w:rsid w:val="00393863"/>
    <w:rsid w:val="00395C95"/>
    <w:rsid w:val="003A00AA"/>
    <w:rsid w:val="003A166F"/>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6E88"/>
    <w:rsid w:val="003C767A"/>
    <w:rsid w:val="003C7B10"/>
    <w:rsid w:val="003D1E9B"/>
    <w:rsid w:val="003D41E1"/>
    <w:rsid w:val="003D595A"/>
    <w:rsid w:val="003D5B6B"/>
    <w:rsid w:val="003D6781"/>
    <w:rsid w:val="003D7EA2"/>
    <w:rsid w:val="003E0511"/>
    <w:rsid w:val="003E0CB4"/>
    <w:rsid w:val="003E3EF1"/>
    <w:rsid w:val="003E6A03"/>
    <w:rsid w:val="003E761B"/>
    <w:rsid w:val="003F0EF7"/>
    <w:rsid w:val="003F12C7"/>
    <w:rsid w:val="003F2D65"/>
    <w:rsid w:val="003F4380"/>
    <w:rsid w:val="003F6B9B"/>
    <w:rsid w:val="0040068D"/>
    <w:rsid w:val="00402279"/>
    <w:rsid w:val="004031F3"/>
    <w:rsid w:val="004072FA"/>
    <w:rsid w:val="00411A3E"/>
    <w:rsid w:val="00412AF5"/>
    <w:rsid w:val="00414DCA"/>
    <w:rsid w:val="00415FC9"/>
    <w:rsid w:val="00417181"/>
    <w:rsid w:val="00417B32"/>
    <w:rsid w:val="00420871"/>
    <w:rsid w:val="00420EB7"/>
    <w:rsid w:val="00423D70"/>
    <w:rsid w:val="004245E8"/>
    <w:rsid w:val="0042723D"/>
    <w:rsid w:val="00427985"/>
    <w:rsid w:val="00430F88"/>
    <w:rsid w:val="00431BD6"/>
    <w:rsid w:val="00434902"/>
    <w:rsid w:val="004356C5"/>
    <w:rsid w:val="004406DC"/>
    <w:rsid w:val="00441033"/>
    <w:rsid w:val="00446754"/>
    <w:rsid w:val="0045090C"/>
    <w:rsid w:val="004524A9"/>
    <w:rsid w:val="00453C6F"/>
    <w:rsid w:val="00454A69"/>
    <w:rsid w:val="00462B7E"/>
    <w:rsid w:val="0046349E"/>
    <w:rsid w:val="004653F1"/>
    <w:rsid w:val="00466253"/>
    <w:rsid w:val="00466F5C"/>
    <w:rsid w:val="004671E5"/>
    <w:rsid w:val="00467AF0"/>
    <w:rsid w:val="004726E2"/>
    <w:rsid w:val="004735CF"/>
    <w:rsid w:val="00476468"/>
    <w:rsid w:val="0047736A"/>
    <w:rsid w:val="004773D4"/>
    <w:rsid w:val="00482CBD"/>
    <w:rsid w:val="0048398F"/>
    <w:rsid w:val="00483BA8"/>
    <w:rsid w:val="0048419F"/>
    <w:rsid w:val="00491165"/>
    <w:rsid w:val="0049116E"/>
    <w:rsid w:val="00491B6D"/>
    <w:rsid w:val="004943D7"/>
    <w:rsid w:val="00495298"/>
    <w:rsid w:val="004966D2"/>
    <w:rsid w:val="00497F7B"/>
    <w:rsid w:val="004A069E"/>
    <w:rsid w:val="004A0EB0"/>
    <w:rsid w:val="004A45E3"/>
    <w:rsid w:val="004B0385"/>
    <w:rsid w:val="004B7350"/>
    <w:rsid w:val="004C3108"/>
    <w:rsid w:val="004C33C1"/>
    <w:rsid w:val="004C4903"/>
    <w:rsid w:val="004C4A23"/>
    <w:rsid w:val="004C5855"/>
    <w:rsid w:val="004D1C64"/>
    <w:rsid w:val="004D6734"/>
    <w:rsid w:val="004D6F3B"/>
    <w:rsid w:val="004E02E1"/>
    <w:rsid w:val="004E27D6"/>
    <w:rsid w:val="004F3C27"/>
    <w:rsid w:val="004F5803"/>
    <w:rsid w:val="004F6CB8"/>
    <w:rsid w:val="0050007C"/>
    <w:rsid w:val="0050021F"/>
    <w:rsid w:val="005008C6"/>
    <w:rsid w:val="005036C2"/>
    <w:rsid w:val="00507B79"/>
    <w:rsid w:val="005112A6"/>
    <w:rsid w:val="00511D52"/>
    <w:rsid w:val="00511DD7"/>
    <w:rsid w:val="005140E2"/>
    <w:rsid w:val="00515171"/>
    <w:rsid w:val="00515663"/>
    <w:rsid w:val="005159A2"/>
    <w:rsid w:val="00520889"/>
    <w:rsid w:val="0052220A"/>
    <w:rsid w:val="005241F4"/>
    <w:rsid w:val="00524856"/>
    <w:rsid w:val="0052612C"/>
    <w:rsid w:val="005302FF"/>
    <w:rsid w:val="005306F2"/>
    <w:rsid w:val="00533DC1"/>
    <w:rsid w:val="00534902"/>
    <w:rsid w:val="005361D6"/>
    <w:rsid w:val="005365EB"/>
    <w:rsid w:val="00540B66"/>
    <w:rsid w:val="005431DA"/>
    <w:rsid w:val="00545156"/>
    <w:rsid w:val="00546274"/>
    <w:rsid w:val="00547F0D"/>
    <w:rsid w:val="00551084"/>
    <w:rsid w:val="00551731"/>
    <w:rsid w:val="00551975"/>
    <w:rsid w:val="00553119"/>
    <w:rsid w:val="005537ED"/>
    <w:rsid w:val="005549AA"/>
    <w:rsid w:val="00555504"/>
    <w:rsid w:val="00567220"/>
    <w:rsid w:val="0056749B"/>
    <w:rsid w:val="00567DA5"/>
    <w:rsid w:val="00570573"/>
    <w:rsid w:val="005719B8"/>
    <w:rsid w:val="005730E7"/>
    <w:rsid w:val="00573F66"/>
    <w:rsid w:val="0057454B"/>
    <w:rsid w:val="00574FD4"/>
    <w:rsid w:val="00576268"/>
    <w:rsid w:val="005766C4"/>
    <w:rsid w:val="00583823"/>
    <w:rsid w:val="00583BA0"/>
    <w:rsid w:val="00585A0A"/>
    <w:rsid w:val="00590EB0"/>
    <w:rsid w:val="00592A1A"/>
    <w:rsid w:val="00595747"/>
    <w:rsid w:val="0059596F"/>
    <w:rsid w:val="005A14A3"/>
    <w:rsid w:val="005A1FB4"/>
    <w:rsid w:val="005A428B"/>
    <w:rsid w:val="005B0E6C"/>
    <w:rsid w:val="005B3B17"/>
    <w:rsid w:val="005B6CEC"/>
    <w:rsid w:val="005B780C"/>
    <w:rsid w:val="005C1BF0"/>
    <w:rsid w:val="005C2ACC"/>
    <w:rsid w:val="005C2D21"/>
    <w:rsid w:val="005C333F"/>
    <w:rsid w:val="005C63C6"/>
    <w:rsid w:val="005C7F5C"/>
    <w:rsid w:val="005C7F7C"/>
    <w:rsid w:val="005D153F"/>
    <w:rsid w:val="005D5CC5"/>
    <w:rsid w:val="005E17AE"/>
    <w:rsid w:val="005E2392"/>
    <w:rsid w:val="005E66BB"/>
    <w:rsid w:val="005F0B28"/>
    <w:rsid w:val="005F35D0"/>
    <w:rsid w:val="00600D5B"/>
    <w:rsid w:val="00603CCD"/>
    <w:rsid w:val="00604389"/>
    <w:rsid w:val="006065D1"/>
    <w:rsid w:val="006069D0"/>
    <w:rsid w:val="00607680"/>
    <w:rsid w:val="00613664"/>
    <w:rsid w:val="00613C48"/>
    <w:rsid w:val="00614DE2"/>
    <w:rsid w:val="0061661C"/>
    <w:rsid w:val="00616C85"/>
    <w:rsid w:val="006170CD"/>
    <w:rsid w:val="00617D5D"/>
    <w:rsid w:val="00617FE7"/>
    <w:rsid w:val="00620E73"/>
    <w:rsid w:val="0062145B"/>
    <w:rsid w:val="006222C2"/>
    <w:rsid w:val="00622C1D"/>
    <w:rsid w:val="00623AB8"/>
    <w:rsid w:val="006244EC"/>
    <w:rsid w:val="00625078"/>
    <w:rsid w:val="006250F8"/>
    <w:rsid w:val="00625C5A"/>
    <w:rsid w:val="0063016E"/>
    <w:rsid w:val="006312E5"/>
    <w:rsid w:val="00632849"/>
    <w:rsid w:val="00632A98"/>
    <w:rsid w:val="006334C2"/>
    <w:rsid w:val="00640337"/>
    <w:rsid w:val="006437ED"/>
    <w:rsid w:val="00646439"/>
    <w:rsid w:val="00647796"/>
    <w:rsid w:val="00647F1B"/>
    <w:rsid w:val="00651275"/>
    <w:rsid w:val="006514BD"/>
    <w:rsid w:val="006524C5"/>
    <w:rsid w:val="00652D2B"/>
    <w:rsid w:val="0065376C"/>
    <w:rsid w:val="0065385B"/>
    <w:rsid w:val="00653971"/>
    <w:rsid w:val="0065461A"/>
    <w:rsid w:val="006561A7"/>
    <w:rsid w:val="00656DC7"/>
    <w:rsid w:val="00660546"/>
    <w:rsid w:val="00660A8E"/>
    <w:rsid w:val="006611E1"/>
    <w:rsid w:val="006642F1"/>
    <w:rsid w:val="00664944"/>
    <w:rsid w:val="0066576B"/>
    <w:rsid w:val="00666CD7"/>
    <w:rsid w:val="0067147C"/>
    <w:rsid w:val="00671852"/>
    <w:rsid w:val="00673A51"/>
    <w:rsid w:val="00673AB7"/>
    <w:rsid w:val="006765F7"/>
    <w:rsid w:val="00676B5C"/>
    <w:rsid w:val="006775DF"/>
    <w:rsid w:val="00677997"/>
    <w:rsid w:val="00683A03"/>
    <w:rsid w:val="00683CCB"/>
    <w:rsid w:val="00683E1D"/>
    <w:rsid w:val="006930DB"/>
    <w:rsid w:val="006940D8"/>
    <w:rsid w:val="006943AD"/>
    <w:rsid w:val="00694F3F"/>
    <w:rsid w:val="006956B7"/>
    <w:rsid w:val="0069581A"/>
    <w:rsid w:val="006A0409"/>
    <w:rsid w:val="006A0662"/>
    <w:rsid w:val="006A0C2A"/>
    <w:rsid w:val="006A2576"/>
    <w:rsid w:val="006A29AB"/>
    <w:rsid w:val="006A4FB3"/>
    <w:rsid w:val="006A5034"/>
    <w:rsid w:val="006A5349"/>
    <w:rsid w:val="006A6823"/>
    <w:rsid w:val="006A742D"/>
    <w:rsid w:val="006B0DB7"/>
    <w:rsid w:val="006B1819"/>
    <w:rsid w:val="006B22F5"/>
    <w:rsid w:val="006B267F"/>
    <w:rsid w:val="006B351C"/>
    <w:rsid w:val="006B5794"/>
    <w:rsid w:val="006B5872"/>
    <w:rsid w:val="006C3B13"/>
    <w:rsid w:val="006C4351"/>
    <w:rsid w:val="006C65A9"/>
    <w:rsid w:val="006D1381"/>
    <w:rsid w:val="006D281B"/>
    <w:rsid w:val="006D3F49"/>
    <w:rsid w:val="006D7297"/>
    <w:rsid w:val="006E19F4"/>
    <w:rsid w:val="006E24CE"/>
    <w:rsid w:val="006E2CDA"/>
    <w:rsid w:val="006E2D28"/>
    <w:rsid w:val="006E3ADE"/>
    <w:rsid w:val="006E4D0A"/>
    <w:rsid w:val="006E7D8F"/>
    <w:rsid w:val="006F01AB"/>
    <w:rsid w:val="006F52E9"/>
    <w:rsid w:val="006F7CD1"/>
    <w:rsid w:val="007000B5"/>
    <w:rsid w:val="007008C9"/>
    <w:rsid w:val="00700A03"/>
    <w:rsid w:val="0070161B"/>
    <w:rsid w:val="00703FEE"/>
    <w:rsid w:val="007040D2"/>
    <w:rsid w:val="00705AE5"/>
    <w:rsid w:val="00705FDD"/>
    <w:rsid w:val="00706DAA"/>
    <w:rsid w:val="007070BE"/>
    <w:rsid w:val="00710360"/>
    <w:rsid w:val="0071394B"/>
    <w:rsid w:val="00714917"/>
    <w:rsid w:val="007154D7"/>
    <w:rsid w:val="007155CD"/>
    <w:rsid w:val="0071583B"/>
    <w:rsid w:val="00716B7B"/>
    <w:rsid w:val="00721711"/>
    <w:rsid w:val="00721712"/>
    <w:rsid w:val="0072221A"/>
    <w:rsid w:val="00726378"/>
    <w:rsid w:val="00726DD9"/>
    <w:rsid w:val="007315EB"/>
    <w:rsid w:val="00731C88"/>
    <w:rsid w:val="00732A82"/>
    <w:rsid w:val="00734CCE"/>
    <w:rsid w:val="00736B60"/>
    <w:rsid w:val="007371BC"/>
    <w:rsid w:val="007379F7"/>
    <w:rsid w:val="00737F1B"/>
    <w:rsid w:val="00740253"/>
    <w:rsid w:val="007404E8"/>
    <w:rsid w:val="00740A9A"/>
    <w:rsid w:val="00743D7B"/>
    <w:rsid w:val="00744DAB"/>
    <w:rsid w:val="0074783B"/>
    <w:rsid w:val="007505BA"/>
    <w:rsid w:val="00751A89"/>
    <w:rsid w:val="00752381"/>
    <w:rsid w:val="00752BEA"/>
    <w:rsid w:val="00753353"/>
    <w:rsid w:val="007541D3"/>
    <w:rsid w:val="00755C9E"/>
    <w:rsid w:val="0075605F"/>
    <w:rsid w:val="00756B94"/>
    <w:rsid w:val="00756EE3"/>
    <w:rsid w:val="00763DAE"/>
    <w:rsid w:val="00766706"/>
    <w:rsid w:val="007679EF"/>
    <w:rsid w:val="007728D4"/>
    <w:rsid w:val="00777740"/>
    <w:rsid w:val="00781100"/>
    <w:rsid w:val="00781FD3"/>
    <w:rsid w:val="007831B8"/>
    <w:rsid w:val="00784736"/>
    <w:rsid w:val="0078561E"/>
    <w:rsid w:val="007857F0"/>
    <w:rsid w:val="00786803"/>
    <w:rsid w:val="00786C49"/>
    <w:rsid w:val="00790957"/>
    <w:rsid w:val="0079383C"/>
    <w:rsid w:val="007A0DE8"/>
    <w:rsid w:val="007A2BFC"/>
    <w:rsid w:val="007A6A1B"/>
    <w:rsid w:val="007A6F74"/>
    <w:rsid w:val="007A7D6A"/>
    <w:rsid w:val="007B28EC"/>
    <w:rsid w:val="007B3336"/>
    <w:rsid w:val="007B383A"/>
    <w:rsid w:val="007B4A7E"/>
    <w:rsid w:val="007B4F4D"/>
    <w:rsid w:val="007B500D"/>
    <w:rsid w:val="007B69EB"/>
    <w:rsid w:val="007C14A7"/>
    <w:rsid w:val="007C1DFF"/>
    <w:rsid w:val="007C3283"/>
    <w:rsid w:val="007C60EA"/>
    <w:rsid w:val="007C7A26"/>
    <w:rsid w:val="007D1998"/>
    <w:rsid w:val="007D2CA4"/>
    <w:rsid w:val="007D44E9"/>
    <w:rsid w:val="007D521E"/>
    <w:rsid w:val="007D565C"/>
    <w:rsid w:val="007D70AC"/>
    <w:rsid w:val="007E2453"/>
    <w:rsid w:val="007E2F74"/>
    <w:rsid w:val="007E3E36"/>
    <w:rsid w:val="007E627C"/>
    <w:rsid w:val="007E7AA6"/>
    <w:rsid w:val="007E7FC4"/>
    <w:rsid w:val="007F32F2"/>
    <w:rsid w:val="007F507E"/>
    <w:rsid w:val="007F58CD"/>
    <w:rsid w:val="00800E24"/>
    <w:rsid w:val="008010E3"/>
    <w:rsid w:val="008017F4"/>
    <w:rsid w:val="00802342"/>
    <w:rsid w:val="008036C6"/>
    <w:rsid w:val="00804A5F"/>
    <w:rsid w:val="0081003A"/>
    <w:rsid w:val="008104AF"/>
    <w:rsid w:val="008107C0"/>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2167"/>
    <w:rsid w:val="00853673"/>
    <w:rsid w:val="00855966"/>
    <w:rsid w:val="0085602B"/>
    <w:rsid w:val="008563D3"/>
    <w:rsid w:val="00862A06"/>
    <w:rsid w:val="00862EE7"/>
    <w:rsid w:val="008631ED"/>
    <w:rsid w:val="00863B6A"/>
    <w:rsid w:val="008666DA"/>
    <w:rsid w:val="0086718F"/>
    <w:rsid w:val="00872A8A"/>
    <w:rsid w:val="008761E8"/>
    <w:rsid w:val="00877E15"/>
    <w:rsid w:val="00882D5F"/>
    <w:rsid w:val="00884374"/>
    <w:rsid w:val="00885DE0"/>
    <w:rsid w:val="008867B6"/>
    <w:rsid w:val="00887087"/>
    <w:rsid w:val="00887DE9"/>
    <w:rsid w:val="00890E01"/>
    <w:rsid w:val="00891974"/>
    <w:rsid w:val="008923DF"/>
    <w:rsid w:val="00896CEC"/>
    <w:rsid w:val="00897895"/>
    <w:rsid w:val="008A4361"/>
    <w:rsid w:val="008A5DF8"/>
    <w:rsid w:val="008A6D24"/>
    <w:rsid w:val="008B5F75"/>
    <w:rsid w:val="008C4E21"/>
    <w:rsid w:val="008C5D10"/>
    <w:rsid w:val="008C6103"/>
    <w:rsid w:val="008C6FF0"/>
    <w:rsid w:val="008C76FE"/>
    <w:rsid w:val="008D0AE5"/>
    <w:rsid w:val="008D7A7C"/>
    <w:rsid w:val="008E0D6F"/>
    <w:rsid w:val="008E1DF2"/>
    <w:rsid w:val="008E2BEF"/>
    <w:rsid w:val="008E3B05"/>
    <w:rsid w:val="008E7988"/>
    <w:rsid w:val="008E7E64"/>
    <w:rsid w:val="008F1BFA"/>
    <w:rsid w:val="008F6F65"/>
    <w:rsid w:val="00902157"/>
    <w:rsid w:val="009054E2"/>
    <w:rsid w:val="009064EF"/>
    <w:rsid w:val="009122A0"/>
    <w:rsid w:val="00913B10"/>
    <w:rsid w:val="0091494D"/>
    <w:rsid w:val="00914BC9"/>
    <w:rsid w:val="00914BCF"/>
    <w:rsid w:val="00916BFF"/>
    <w:rsid w:val="00917005"/>
    <w:rsid w:val="00921553"/>
    <w:rsid w:val="0092281E"/>
    <w:rsid w:val="00922CEA"/>
    <w:rsid w:val="00924D69"/>
    <w:rsid w:val="0092566D"/>
    <w:rsid w:val="00926BB0"/>
    <w:rsid w:val="00930101"/>
    <w:rsid w:val="0093366D"/>
    <w:rsid w:val="00936966"/>
    <w:rsid w:val="00940D1E"/>
    <w:rsid w:val="009439FD"/>
    <w:rsid w:val="00946580"/>
    <w:rsid w:val="009500F7"/>
    <w:rsid w:val="00950A71"/>
    <w:rsid w:val="0095269F"/>
    <w:rsid w:val="00953F3E"/>
    <w:rsid w:val="00956DB0"/>
    <w:rsid w:val="00960123"/>
    <w:rsid w:val="00960402"/>
    <w:rsid w:val="00965E33"/>
    <w:rsid w:val="00967F76"/>
    <w:rsid w:val="0097008F"/>
    <w:rsid w:val="00970097"/>
    <w:rsid w:val="00971652"/>
    <w:rsid w:val="00975B08"/>
    <w:rsid w:val="0097738C"/>
    <w:rsid w:val="009774F7"/>
    <w:rsid w:val="00981F5F"/>
    <w:rsid w:val="00982284"/>
    <w:rsid w:val="00983E53"/>
    <w:rsid w:val="00985230"/>
    <w:rsid w:val="009856E3"/>
    <w:rsid w:val="00987E0D"/>
    <w:rsid w:val="0099124D"/>
    <w:rsid w:val="0099226B"/>
    <w:rsid w:val="00992523"/>
    <w:rsid w:val="0099353B"/>
    <w:rsid w:val="0099615A"/>
    <w:rsid w:val="009965D9"/>
    <w:rsid w:val="009A01C2"/>
    <w:rsid w:val="009A0D3E"/>
    <w:rsid w:val="009A228C"/>
    <w:rsid w:val="009A265C"/>
    <w:rsid w:val="009A29B3"/>
    <w:rsid w:val="009A2D69"/>
    <w:rsid w:val="009A41B8"/>
    <w:rsid w:val="009B0568"/>
    <w:rsid w:val="009B22DD"/>
    <w:rsid w:val="009B2DFC"/>
    <w:rsid w:val="009B316C"/>
    <w:rsid w:val="009B3AA0"/>
    <w:rsid w:val="009B4DB4"/>
    <w:rsid w:val="009C0D0F"/>
    <w:rsid w:val="009C1E01"/>
    <w:rsid w:val="009C3F40"/>
    <w:rsid w:val="009D0AB2"/>
    <w:rsid w:val="009D10E6"/>
    <w:rsid w:val="009D1972"/>
    <w:rsid w:val="009D2BA5"/>
    <w:rsid w:val="009D3163"/>
    <w:rsid w:val="009D4A1D"/>
    <w:rsid w:val="009D4A60"/>
    <w:rsid w:val="009D50B6"/>
    <w:rsid w:val="009D5E2B"/>
    <w:rsid w:val="009E009D"/>
    <w:rsid w:val="009E1026"/>
    <w:rsid w:val="009E5B1B"/>
    <w:rsid w:val="009F24C2"/>
    <w:rsid w:val="009F3E3E"/>
    <w:rsid w:val="009F5C0E"/>
    <w:rsid w:val="00A01232"/>
    <w:rsid w:val="00A01974"/>
    <w:rsid w:val="00A03458"/>
    <w:rsid w:val="00A06BF6"/>
    <w:rsid w:val="00A06E9B"/>
    <w:rsid w:val="00A10F40"/>
    <w:rsid w:val="00A1181E"/>
    <w:rsid w:val="00A11A5C"/>
    <w:rsid w:val="00A11EC9"/>
    <w:rsid w:val="00A210C9"/>
    <w:rsid w:val="00A2223F"/>
    <w:rsid w:val="00A242D5"/>
    <w:rsid w:val="00A24528"/>
    <w:rsid w:val="00A24716"/>
    <w:rsid w:val="00A2646C"/>
    <w:rsid w:val="00A31734"/>
    <w:rsid w:val="00A32CE7"/>
    <w:rsid w:val="00A33AE6"/>
    <w:rsid w:val="00A3420E"/>
    <w:rsid w:val="00A363C0"/>
    <w:rsid w:val="00A37795"/>
    <w:rsid w:val="00A37AD6"/>
    <w:rsid w:val="00A41069"/>
    <w:rsid w:val="00A410E0"/>
    <w:rsid w:val="00A41EF0"/>
    <w:rsid w:val="00A42604"/>
    <w:rsid w:val="00A426AA"/>
    <w:rsid w:val="00A463D8"/>
    <w:rsid w:val="00A46DB3"/>
    <w:rsid w:val="00A47989"/>
    <w:rsid w:val="00A61B8A"/>
    <w:rsid w:val="00A63BC0"/>
    <w:rsid w:val="00A640CF"/>
    <w:rsid w:val="00A6713D"/>
    <w:rsid w:val="00A6799E"/>
    <w:rsid w:val="00A7066C"/>
    <w:rsid w:val="00A70742"/>
    <w:rsid w:val="00A71FC8"/>
    <w:rsid w:val="00A7279D"/>
    <w:rsid w:val="00A73472"/>
    <w:rsid w:val="00A737F5"/>
    <w:rsid w:val="00A74CA3"/>
    <w:rsid w:val="00A76C23"/>
    <w:rsid w:val="00A76F52"/>
    <w:rsid w:val="00A77910"/>
    <w:rsid w:val="00A77CD2"/>
    <w:rsid w:val="00A80BAD"/>
    <w:rsid w:val="00A816E5"/>
    <w:rsid w:val="00A820C9"/>
    <w:rsid w:val="00A82AC3"/>
    <w:rsid w:val="00A832AB"/>
    <w:rsid w:val="00A8375C"/>
    <w:rsid w:val="00A86D78"/>
    <w:rsid w:val="00A87395"/>
    <w:rsid w:val="00A87CA4"/>
    <w:rsid w:val="00A903DE"/>
    <w:rsid w:val="00A911BC"/>
    <w:rsid w:val="00A92490"/>
    <w:rsid w:val="00A93418"/>
    <w:rsid w:val="00A942D8"/>
    <w:rsid w:val="00A94905"/>
    <w:rsid w:val="00A94B3B"/>
    <w:rsid w:val="00A94F8F"/>
    <w:rsid w:val="00A9551A"/>
    <w:rsid w:val="00A95F84"/>
    <w:rsid w:val="00A96757"/>
    <w:rsid w:val="00A967CA"/>
    <w:rsid w:val="00AA0939"/>
    <w:rsid w:val="00AA1F46"/>
    <w:rsid w:val="00AA274E"/>
    <w:rsid w:val="00AA2EFB"/>
    <w:rsid w:val="00AA509D"/>
    <w:rsid w:val="00AA5834"/>
    <w:rsid w:val="00AB40D7"/>
    <w:rsid w:val="00AB7BA3"/>
    <w:rsid w:val="00AC31DF"/>
    <w:rsid w:val="00AC323B"/>
    <w:rsid w:val="00AC5FC5"/>
    <w:rsid w:val="00AC6293"/>
    <w:rsid w:val="00AC6C3C"/>
    <w:rsid w:val="00AC7AAB"/>
    <w:rsid w:val="00AD09B6"/>
    <w:rsid w:val="00AD0B86"/>
    <w:rsid w:val="00AD226A"/>
    <w:rsid w:val="00AD31E3"/>
    <w:rsid w:val="00AD4C53"/>
    <w:rsid w:val="00AD5899"/>
    <w:rsid w:val="00AD6828"/>
    <w:rsid w:val="00AD7E43"/>
    <w:rsid w:val="00AE0FC4"/>
    <w:rsid w:val="00AE1F8C"/>
    <w:rsid w:val="00AE201C"/>
    <w:rsid w:val="00AE2EA3"/>
    <w:rsid w:val="00AE31FA"/>
    <w:rsid w:val="00AE3339"/>
    <w:rsid w:val="00AE3870"/>
    <w:rsid w:val="00AE523F"/>
    <w:rsid w:val="00AE730B"/>
    <w:rsid w:val="00AF0F78"/>
    <w:rsid w:val="00AF2699"/>
    <w:rsid w:val="00AF3518"/>
    <w:rsid w:val="00AF3DBF"/>
    <w:rsid w:val="00AF41BF"/>
    <w:rsid w:val="00AF53EA"/>
    <w:rsid w:val="00AF57E7"/>
    <w:rsid w:val="00AF6928"/>
    <w:rsid w:val="00AF7935"/>
    <w:rsid w:val="00B00316"/>
    <w:rsid w:val="00B00A02"/>
    <w:rsid w:val="00B01DED"/>
    <w:rsid w:val="00B02395"/>
    <w:rsid w:val="00B028D8"/>
    <w:rsid w:val="00B04458"/>
    <w:rsid w:val="00B051FF"/>
    <w:rsid w:val="00B058EE"/>
    <w:rsid w:val="00B058F9"/>
    <w:rsid w:val="00B06288"/>
    <w:rsid w:val="00B076D9"/>
    <w:rsid w:val="00B11707"/>
    <w:rsid w:val="00B13E12"/>
    <w:rsid w:val="00B211A8"/>
    <w:rsid w:val="00B234E8"/>
    <w:rsid w:val="00B23902"/>
    <w:rsid w:val="00B2413C"/>
    <w:rsid w:val="00B25673"/>
    <w:rsid w:val="00B310BA"/>
    <w:rsid w:val="00B31872"/>
    <w:rsid w:val="00B33C5E"/>
    <w:rsid w:val="00B37423"/>
    <w:rsid w:val="00B37F72"/>
    <w:rsid w:val="00B40E82"/>
    <w:rsid w:val="00B42B07"/>
    <w:rsid w:val="00B43D72"/>
    <w:rsid w:val="00B443D7"/>
    <w:rsid w:val="00B448EA"/>
    <w:rsid w:val="00B44D11"/>
    <w:rsid w:val="00B458A2"/>
    <w:rsid w:val="00B458DC"/>
    <w:rsid w:val="00B51B8A"/>
    <w:rsid w:val="00B53E47"/>
    <w:rsid w:val="00B54BD1"/>
    <w:rsid w:val="00B563C5"/>
    <w:rsid w:val="00B6676A"/>
    <w:rsid w:val="00B7102A"/>
    <w:rsid w:val="00B7321A"/>
    <w:rsid w:val="00B7483A"/>
    <w:rsid w:val="00B756CF"/>
    <w:rsid w:val="00B81EDB"/>
    <w:rsid w:val="00B83EA0"/>
    <w:rsid w:val="00B859A5"/>
    <w:rsid w:val="00B8618F"/>
    <w:rsid w:val="00B8629D"/>
    <w:rsid w:val="00B86B62"/>
    <w:rsid w:val="00B92872"/>
    <w:rsid w:val="00B93142"/>
    <w:rsid w:val="00B9337B"/>
    <w:rsid w:val="00B93D7A"/>
    <w:rsid w:val="00B94026"/>
    <w:rsid w:val="00B95846"/>
    <w:rsid w:val="00B95E0F"/>
    <w:rsid w:val="00BA22FC"/>
    <w:rsid w:val="00BA2F4D"/>
    <w:rsid w:val="00BA43C4"/>
    <w:rsid w:val="00BA7E30"/>
    <w:rsid w:val="00BB05C8"/>
    <w:rsid w:val="00BB0DA1"/>
    <w:rsid w:val="00BB2810"/>
    <w:rsid w:val="00BB4E6B"/>
    <w:rsid w:val="00BC39E5"/>
    <w:rsid w:val="00BC3A16"/>
    <w:rsid w:val="00BC3C2C"/>
    <w:rsid w:val="00BC60D5"/>
    <w:rsid w:val="00BC6A57"/>
    <w:rsid w:val="00BC6D40"/>
    <w:rsid w:val="00BD0BB3"/>
    <w:rsid w:val="00BD150B"/>
    <w:rsid w:val="00BD337E"/>
    <w:rsid w:val="00BD3504"/>
    <w:rsid w:val="00BD5445"/>
    <w:rsid w:val="00BD5668"/>
    <w:rsid w:val="00BD57D6"/>
    <w:rsid w:val="00BD604C"/>
    <w:rsid w:val="00BD6C65"/>
    <w:rsid w:val="00BE0FC6"/>
    <w:rsid w:val="00BE278F"/>
    <w:rsid w:val="00BE327F"/>
    <w:rsid w:val="00BE4DF1"/>
    <w:rsid w:val="00BE6292"/>
    <w:rsid w:val="00BE6E59"/>
    <w:rsid w:val="00BF0660"/>
    <w:rsid w:val="00BF13EC"/>
    <w:rsid w:val="00BF20AF"/>
    <w:rsid w:val="00BF4699"/>
    <w:rsid w:val="00BF77B7"/>
    <w:rsid w:val="00C003F5"/>
    <w:rsid w:val="00C00462"/>
    <w:rsid w:val="00C006A2"/>
    <w:rsid w:val="00C02D50"/>
    <w:rsid w:val="00C02FB9"/>
    <w:rsid w:val="00C03F74"/>
    <w:rsid w:val="00C055E6"/>
    <w:rsid w:val="00C05C77"/>
    <w:rsid w:val="00C05FBC"/>
    <w:rsid w:val="00C118FA"/>
    <w:rsid w:val="00C15968"/>
    <w:rsid w:val="00C15B61"/>
    <w:rsid w:val="00C16020"/>
    <w:rsid w:val="00C16798"/>
    <w:rsid w:val="00C21116"/>
    <w:rsid w:val="00C21E5F"/>
    <w:rsid w:val="00C26639"/>
    <w:rsid w:val="00C268FE"/>
    <w:rsid w:val="00C26994"/>
    <w:rsid w:val="00C27BB8"/>
    <w:rsid w:val="00C31691"/>
    <w:rsid w:val="00C3412F"/>
    <w:rsid w:val="00C344D9"/>
    <w:rsid w:val="00C354CC"/>
    <w:rsid w:val="00C37B3D"/>
    <w:rsid w:val="00C37F62"/>
    <w:rsid w:val="00C4094D"/>
    <w:rsid w:val="00C414F3"/>
    <w:rsid w:val="00C4316F"/>
    <w:rsid w:val="00C433C6"/>
    <w:rsid w:val="00C4366D"/>
    <w:rsid w:val="00C44D3B"/>
    <w:rsid w:val="00C44F73"/>
    <w:rsid w:val="00C52039"/>
    <w:rsid w:val="00C5216A"/>
    <w:rsid w:val="00C53002"/>
    <w:rsid w:val="00C532D5"/>
    <w:rsid w:val="00C53CBC"/>
    <w:rsid w:val="00C53FD9"/>
    <w:rsid w:val="00C546B6"/>
    <w:rsid w:val="00C55637"/>
    <w:rsid w:val="00C56772"/>
    <w:rsid w:val="00C56855"/>
    <w:rsid w:val="00C6025C"/>
    <w:rsid w:val="00C6182F"/>
    <w:rsid w:val="00C62AF9"/>
    <w:rsid w:val="00C6300F"/>
    <w:rsid w:val="00C63B5B"/>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3272"/>
    <w:rsid w:val="00C93A09"/>
    <w:rsid w:val="00C9591E"/>
    <w:rsid w:val="00CA0749"/>
    <w:rsid w:val="00CA0813"/>
    <w:rsid w:val="00CA3185"/>
    <w:rsid w:val="00CA3713"/>
    <w:rsid w:val="00CA40BA"/>
    <w:rsid w:val="00CA4670"/>
    <w:rsid w:val="00CA5A43"/>
    <w:rsid w:val="00CA6843"/>
    <w:rsid w:val="00CA797F"/>
    <w:rsid w:val="00CA7B36"/>
    <w:rsid w:val="00CB0E66"/>
    <w:rsid w:val="00CB3CAE"/>
    <w:rsid w:val="00CB41A4"/>
    <w:rsid w:val="00CB460C"/>
    <w:rsid w:val="00CB58C8"/>
    <w:rsid w:val="00CB6F26"/>
    <w:rsid w:val="00CC3571"/>
    <w:rsid w:val="00CC5813"/>
    <w:rsid w:val="00CD0164"/>
    <w:rsid w:val="00CD0E06"/>
    <w:rsid w:val="00CD2249"/>
    <w:rsid w:val="00CD24EC"/>
    <w:rsid w:val="00CD3E02"/>
    <w:rsid w:val="00CD4013"/>
    <w:rsid w:val="00CD51B1"/>
    <w:rsid w:val="00CD56F1"/>
    <w:rsid w:val="00CD6552"/>
    <w:rsid w:val="00CD6C83"/>
    <w:rsid w:val="00CE4801"/>
    <w:rsid w:val="00CE7745"/>
    <w:rsid w:val="00CF0C1A"/>
    <w:rsid w:val="00CF1452"/>
    <w:rsid w:val="00CF478A"/>
    <w:rsid w:val="00CF4A43"/>
    <w:rsid w:val="00CF7AE6"/>
    <w:rsid w:val="00D04E32"/>
    <w:rsid w:val="00D06215"/>
    <w:rsid w:val="00D1067E"/>
    <w:rsid w:val="00D11C7C"/>
    <w:rsid w:val="00D132C1"/>
    <w:rsid w:val="00D232B8"/>
    <w:rsid w:val="00D23BEE"/>
    <w:rsid w:val="00D23D1C"/>
    <w:rsid w:val="00D27373"/>
    <w:rsid w:val="00D27837"/>
    <w:rsid w:val="00D27B4A"/>
    <w:rsid w:val="00D302D6"/>
    <w:rsid w:val="00D3062A"/>
    <w:rsid w:val="00D31494"/>
    <w:rsid w:val="00D32590"/>
    <w:rsid w:val="00D338F3"/>
    <w:rsid w:val="00D33DC1"/>
    <w:rsid w:val="00D40125"/>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5647"/>
    <w:rsid w:val="00D65C3B"/>
    <w:rsid w:val="00D66379"/>
    <w:rsid w:val="00D66CE2"/>
    <w:rsid w:val="00D71EAB"/>
    <w:rsid w:val="00D72117"/>
    <w:rsid w:val="00D72A62"/>
    <w:rsid w:val="00D742C7"/>
    <w:rsid w:val="00D74CE9"/>
    <w:rsid w:val="00D75B87"/>
    <w:rsid w:val="00D7666D"/>
    <w:rsid w:val="00D82022"/>
    <w:rsid w:val="00D821DB"/>
    <w:rsid w:val="00D845D8"/>
    <w:rsid w:val="00D85D37"/>
    <w:rsid w:val="00D86EDE"/>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62DF"/>
    <w:rsid w:val="00DC70F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07FC6"/>
    <w:rsid w:val="00E16BD2"/>
    <w:rsid w:val="00E17E2F"/>
    <w:rsid w:val="00E213AF"/>
    <w:rsid w:val="00E23BD4"/>
    <w:rsid w:val="00E25B16"/>
    <w:rsid w:val="00E25B4C"/>
    <w:rsid w:val="00E2606F"/>
    <w:rsid w:val="00E27412"/>
    <w:rsid w:val="00E27BB4"/>
    <w:rsid w:val="00E307D6"/>
    <w:rsid w:val="00E325E5"/>
    <w:rsid w:val="00E35339"/>
    <w:rsid w:val="00E356BF"/>
    <w:rsid w:val="00E35E00"/>
    <w:rsid w:val="00E40836"/>
    <w:rsid w:val="00E41019"/>
    <w:rsid w:val="00E422E0"/>
    <w:rsid w:val="00E43492"/>
    <w:rsid w:val="00E434DA"/>
    <w:rsid w:val="00E43A6F"/>
    <w:rsid w:val="00E522DF"/>
    <w:rsid w:val="00E52B1E"/>
    <w:rsid w:val="00E53022"/>
    <w:rsid w:val="00E55DED"/>
    <w:rsid w:val="00E567BC"/>
    <w:rsid w:val="00E5794E"/>
    <w:rsid w:val="00E57D79"/>
    <w:rsid w:val="00E60305"/>
    <w:rsid w:val="00E605A7"/>
    <w:rsid w:val="00E619FE"/>
    <w:rsid w:val="00E61BB7"/>
    <w:rsid w:val="00E61F36"/>
    <w:rsid w:val="00E6472E"/>
    <w:rsid w:val="00E64A8D"/>
    <w:rsid w:val="00E7102E"/>
    <w:rsid w:val="00E71DC6"/>
    <w:rsid w:val="00E72BFC"/>
    <w:rsid w:val="00E73F58"/>
    <w:rsid w:val="00E74509"/>
    <w:rsid w:val="00E7540C"/>
    <w:rsid w:val="00E76CEE"/>
    <w:rsid w:val="00E77C20"/>
    <w:rsid w:val="00E82C7A"/>
    <w:rsid w:val="00E83010"/>
    <w:rsid w:val="00E84205"/>
    <w:rsid w:val="00E876F3"/>
    <w:rsid w:val="00E87FF3"/>
    <w:rsid w:val="00E9187B"/>
    <w:rsid w:val="00E927FF"/>
    <w:rsid w:val="00E94BCF"/>
    <w:rsid w:val="00E95B15"/>
    <w:rsid w:val="00E97BC6"/>
    <w:rsid w:val="00EA0206"/>
    <w:rsid w:val="00EA0699"/>
    <w:rsid w:val="00EA0DB5"/>
    <w:rsid w:val="00EA0F36"/>
    <w:rsid w:val="00EA14EE"/>
    <w:rsid w:val="00EA31CE"/>
    <w:rsid w:val="00EA5CEF"/>
    <w:rsid w:val="00EB01E3"/>
    <w:rsid w:val="00EB1D78"/>
    <w:rsid w:val="00EB27D4"/>
    <w:rsid w:val="00EB2C40"/>
    <w:rsid w:val="00EB3CF4"/>
    <w:rsid w:val="00EB5C53"/>
    <w:rsid w:val="00EB5F97"/>
    <w:rsid w:val="00EB7914"/>
    <w:rsid w:val="00EC158A"/>
    <w:rsid w:val="00EC175B"/>
    <w:rsid w:val="00EC2661"/>
    <w:rsid w:val="00EC4191"/>
    <w:rsid w:val="00EC4CD1"/>
    <w:rsid w:val="00EC4D92"/>
    <w:rsid w:val="00EC538A"/>
    <w:rsid w:val="00EC5EE2"/>
    <w:rsid w:val="00EC7474"/>
    <w:rsid w:val="00ED106F"/>
    <w:rsid w:val="00ED25D9"/>
    <w:rsid w:val="00ED2B5B"/>
    <w:rsid w:val="00ED2DE9"/>
    <w:rsid w:val="00ED5468"/>
    <w:rsid w:val="00EE0060"/>
    <w:rsid w:val="00EE29D6"/>
    <w:rsid w:val="00EE2C2A"/>
    <w:rsid w:val="00EE7AD0"/>
    <w:rsid w:val="00EF0A16"/>
    <w:rsid w:val="00EF38AA"/>
    <w:rsid w:val="00EF4E54"/>
    <w:rsid w:val="00EF52BC"/>
    <w:rsid w:val="00EF5FDB"/>
    <w:rsid w:val="00F005DB"/>
    <w:rsid w:val="00F01410"/>
    <w:rsid w:val="00F03436"/>
    <w:rsid w:val="00F04332"/>
    <w:rsid w:val="00F047A7"/>
    <w:rsid w:val="00F050CB"/>
    <w:rsid w:val="00F057D8"/>
    <w:rsid w:val="00F07FBA"/>
    <w:rsid w:val="00F1052F"/>
    <w:rsid w:val="00F105EF"/>
    <w:rsid w:val="00F1064B"/>
    <w:rsid w:val="00F10CE1"/>
    <w:rsid w:val="00F120F6"/>
    <w:rsid w:val="00F12262"/>
    <w:rsid w:val="00F13D36"/>
    <w:rsid w:val="00F2034F"/>
    <w:rsid w:val="00F20E22"/>
    <w:rsid w:val="00F21CB8"/>
    <w:rsid w:val="00F2225D"/>
    <w:rsid w:val="00F22662"/>
    <w:rsid w:val="00F24D35"/>
    <w:rsid w:val="00F25B26"/>
    <w:rsid w:val="00F260CB"/>
    <w:rsid w:val="00F30ED0"/>
    <w:rsid w:val="00F3326F"/>
    <w:rsid w:val="00F345AE"/>
    <w:rsid w:val="00F379D8"/>
    <w:rsid w:val="00F42893"/>
    <w:rsid w:val="00F42B84"/>
    <w:rsid w:val="00F473A3"/>
    <w:rsid w:val="00F50CFE"/>
    <w:rsid w:val="00F523A6"/>
    <w:rsid w:val="00F534BF"/>
    <w:rsid w:val="00F55A11"/>
    <w:rsid w:val="00F60DAD"/>
    <w:rsid w:val="00F62B7E"/>
    <w:rsid w:val="00F713F3"/>
    <w:rsid w:val="00F7146A"/>
    <w:rsid w:val="00F730FA"/>
    <w:rsid w:val="00F76F85"/>
    <w:rsid w:val="00F80D83"/>
    <w:rsid w:val="00F81779"/>
    <w:rsid w:val="00F82946"/>
    <w:rsid w:val="00F82F84"/>
    <w:rsid w:val="00F84BB6"/>
    <w:rsid w:val="00F84EAE"/>
    <w:rsid w:val="00F853B1"/>
    <w:rsid w:val="00F8633C"/>
    <w:rsid w:val="00F869AB"/>
    <w:rsid w:val="00F9313D"/>
    <w:rsid w:val="00F93CAE"/>
    <w:rsid w:val="00F93E39"/>
    <w:rsid w:val="00F9415B"/>
    <w:rsid w:val="00F941E8"/>
    <w:rsid w:val="00F967BE"/>
    <w:rsid w:val="00FA1616"/>
    <w:rsid w:val="00FA1AB3"/>
    <w:rsid w:val="00FA1AE4"/>
    <w:rsid w:val="00FA26D1"/>
    <w:rsid w:val="00FA3000"/>
    <w:rsid w:val="00FA325E"/>
    <w:rsid w:val="00FA4983"/>
    <w:rsid w:val="00FA5E21"/>
    <w:rsid w:val="00FA725F"/>
    <w:rsid w:val="00FA7EC8"/>
    <w:rsid w:val="00FB0767"/>
    <w:rsid w:val="00FB4C0E"/>
    <w:rsid w:val="00FB4F86"/>
    <w:rsid w:val="00FB589C"/>
    <w:rsid w:val="00FB5C20"/>
    <w:rsid w:val="00FB63F7"/>
    <w:rsid w:val="00FB64B8"/>
    <w:rsid w:val="00FB66B7"/>
    <w:rsid w:val="00FC07CB"/>
    <w:rsid w:val="00FC340E"/>
    <w:rsid w:val="00FC63D5"/>
    <w:rsid w:val="00FC6651"/>
    <w:rsid w:val="00FD020A"/>
    <w:rsid w:val="00FD0246"/>
    <w:rsid w:val="00FD048C"/>
    <w:rsid w:val="00FD3854"/>
    <w:rsid w:val="00FD4E3E"/>
    <w:rsid w:val="00FE038C"/>
    <w:rsid w:val="00FE1057"/>
    <w:rsid w:val="00FE374D"/>
    <w:rsid w:val="00FE4C6D"/>
    <w:rsid w:val="00FF00E4"/>
    <w:rsid w:val="00FF0112"/>
    <w:rsid w:val="00FF0A9C"/>
    <w:rsid w:val="00FF0C7F"/>
    <w:rsid w:val="00FF187D"/>
    <w:rsid w:val="00FF2127"/>
    <w:rsid w:val="00FF3A2B"/>
    <w:rsid w:val="00FF4489"/>
    <w:rsid w:val="00FF50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51F59C9"/>
  <w15:docId w15:val="{40EB466A-86CD-4F2D-A97A-79DF1384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uiPriority w:val="99"/>
    <w:qFormat/>
    <w:rsid w:val="002E629B"/>
    <w:rPr>
      <w:vertAlign w:val="superscript"/>
    </w:rPr>
  </w:style>
  <w:style w:type="paragraph" w:styleId="Funotentext">
    <w:name w:val="footnote text"/>
    <w:basedOn w:val="Standard"/>
    <w:link w:val="FunotentextZchn"/>
    <w:uiPriority w:val="99"/>
    <w:qFormat/>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uiPriority w:val="59"/>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table" w:customStyle="1" w:styleId="Tabellenraster1">
    <w:name w:val="Tabellenraster1"/>
    <w:basedOn w:val="NormaleTabelle"/>
    <w:next w:val="Tabellenraster"/>
    <w:rsid w:val="00A41069"/>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semiHidden/>
    <w:rsid w:val="003E3EF1"/>
    <w:rPr>
      <w:rFonts w:ascii="Arial" w:hAnsi="Arial" w:cs="Arial"/>
      <w:sz w:val="28"/>
      <w:szCs w:val="22"/>
    </w:rPr>
  </w:style>
  <w:style w:type="paragraph" w:customStyle="1" w:styleId="AufzhlungPunkt1">
    <w:name w:val="Aufzählung Punkt 1"/>
    <w:basedOn w:val="Standard"/>
    <w:link w:val="AufzhlungPunkt1Zchn"/>
    <w:qFormat/>
    <w:rsid w:val="005C2ACC"/>
    <w:pPr>
      <w:numPr>
        <w:numId w:val="11"/>
      </w:numPr>
      <w:tabs>
        <w:tab w:val="clear" w:pos="284"/>
        <w:tab w:val="clear" w:pos="851"/>
        <w:tab w:val="clear" w:pos="3119"/>
        <w:tab w:val="clear" w:pos="3686"/>
        <w:tab w:val="clear" w:pos="6804"/>
        <w:tab w:val="clear" w:pos="7371"/>
      </w:tabs>
      <w:overflowPunct/>
      <w:autoSpaceDE/>
      <w:autoSpaceDN/>
      <w:adjustRightInd/>
      <w:spacing w:line="288"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5C2ACC"/>
    <w:rPr>
      <w:rFonts w:ascii="Verdana" w:eastAsiaTheme="minorEastAsia" w:hAnsi="Verdana" w:cstheme="minorBidi"/>
      <w:lang w:eastAsia="ja-JP"/>
    </w:rPr>
  </w:style>
  <w:style w:type="character" w:customStyle="1" w:styleId="Tiefgestellt">
    <w:name w:val="Tiefgestellt"/>
    <w:basedOn w:val="Absatz-Standardschriftart"/>
    <w:rsid w:val="00F853B1"/>
    <w:rPr>
      <w:vertAlign w:val="subscript"/>
    </w:rPr>
  </w:style>
  <w:style w:type="character" w:customStyle="1" w:styleId="StandardkleinZchn">
    <w:name w:val="Standard klein Zchn"/>
    <w:basedOn w:val="Absatz-Standardschriftart"/>
    <w:link w:val="Standardklein"/>
    <w:locked/>
    <w:rsid w:val="00345A2C"/>
    <w:rPr>
      <w:rFonts w:eastAsiaTheme="minorEastAsia"/>
      <w:sz w:val="16"/>
      <w:szCs w:val="16"/>
      <w:lang w:eastAsia="ja-JP"/>
    </w:rPr>
  </w:style>
  <w:style w:type="paragraph" w:customStyle="1" w:styleId="Standardklein">
    <w:name w:val="Standard klein"/>
    <w:basedOn w:val="Standard"/>
    <w:link w:val="StandardkleinZchn"/>
    <w:qFormat/>
    <w:rsid w:val="00345A2C"/>
    <w:pPr>
      <w:tabs>
        <w:tab w:val="clear" w:pos="284"/>
        <w:tab w:val="clear" w:pos="851"/>
        <w:tab w:val="clear" w:pos="3119"/>
        <w:tab w:val="clear" w:pos="3686"/>
        <w:tab w:val="clear" w:pos="6804"/>
        <w:tab w:val="clear" w:pos="7371"/>
      </w:tabs>
      <w:overflowPunct/>
      <w:autoSpaceDE/>
      <w:autoSpaceDN/>
      <w:adjustRightInd/>
      <w:spacing w:line="288" w:lineRule="auto"/>
      <w:jc w:val="both"/>
      <w:textAlignment w:val="auto"/>
    </w:pPr>
    <w:rPr>
      <w:rFonts w:ascii="Times New Roman" w:eastAsiaTheme="minorEastAsia" w:hAnsi="Times New Roman" w:cs="Times New Roman"/>
      <w:sz w:val="16"/>
      <w:szCs w:val="16"/>
      <w:lang w:eastAsia="ja-JP"/>
    </w:rPr>
  </w:style>
  <w:style w:type="paragraph" w:styleId="Listenabsatz">
    <w:name w:val="List Paragraph"/>
    <w:basedOn w:val="Standard"/>
    <w:uiPriority w:val="34"/>
    <w:qFormat/>
    <w:rsid w:val="00BA7E30"/>
    <w:pPr>
      <w:tabs>
        <w:tab w:val="clear" w:pos="284"/>
        <w:tab w:val="clear" w:pos="851"/>
        <w:tab w:val="clear" w:pos="3119"/>
        <w:tab w:val="clear" w:pos="3686"/>
        <w:tab w:val="clear" w:pos="6804"/>
        <w:tab w:val="clear" w:pos="7371"/>
      </w:tabs>
      <w:autoSpaceDN/>
      <w:adjustRightInd/>
      <w:ind w:left="720"/>
      <w:contextualSpacing/>
      <w:textAlignment w:val="auto"/>
    </w:pPr>
    <w:rPr>
      <w:lang w:eastAsia="ar-SA"/>
    </w:rPr>
  </w:style>
  <w:style w:type="character" w:styleId="Hyperlink">
    <w:name w:val="Hyperlink"/>
    <w:basedOn w:val="Absatz-Standardschriftart"/>
    <w:uiPriority w:val="99"/>
    <w:semiHidden/>
    <w:unhideWhenUsed/>
    <w:qFormat/>
    <w:rsid w:val="000A4915"/>
    <w:rPr>
      <w:color w:val="0000FF" w:themeColor="hyperlink"/>
      <w:u w:val="single"/>
    </w:rPr>
  </w:style>
  <w:style w:type="character" w:customStyle="1" w:styleId="FunotentextZchn">
    <w:name w:val="Fußnotentext Zchn"/>
    <w:basedOn w:val="Absatz-Standardschriftart"/>
    <w:link w:val="Funotentext"/>
    <w:uiPriority w:val="99"/>
    <w:rsid w:val="000A4915"/>
    <w:rPr>
      <w:rFonts w:ascii="Arial" w:hAnsi="Arial" w:cs="Arial"/>
      <w:sz w:val="18"/>
      <w:szCs w:val="22"/>
    </w:rPr>
  </w:style>
  <w:style w:type="character" w:customStyle="1" w:styleId="StandardfettZchn">
    <w:name w:val="Standard fett Zchn"/>
    <w:basedOn w:val="Absatz-Standardschriftart"/>
    <w:link w:val="Standardfett"/>
    <w:locked/>
    <w:rsid w:val="000A4915"/>
    <w:rPr>
      <w:rFonts w:eastAsiaTheme="minorEastAsia"/>
      <w:b/>
      <w:lang w:eastAsia="ja-JP"/>
    </w:rPr>
  </w:style>
  <w:style w:type="paragraph" w:customStyle="1" w:styleId="Standardfett">
    <w:name w:val="Standard fett"/>
    <w:basedOn w:val="Standard"/>
    <w:link w:val="StandardfettZchn"/>
    <w:qFormat/>
    <w:rsid w:val="000A4915"/>
    <w:pPr>
      <w:tabs>
        <w:tab w:val="clear" w:pos="284"/>
        <w:tab w:val="clear" w:pos="851"/>
        <w:tab w:val="clear" w:pos="3119"/>
        <w:tab w:val="clear" w:pos="3686"/>
        <w:tab w:val="clear" w:pos="6804"/>
        <w:tab w:val="clear" w:pos="7371"/>
      </w:tabs>
      <w:overflowPunct/>
      <w:autoSpaceDE/>
      <w:autoSpaceDN/>
      <w:adjustRightInd/>
      <w:spacing w:line="288" w:lineRule="auto"/>
      <w:jc w:val="both"/>
      <w:textAlignment w:val="auto"/>
    </w:pPr>
    <w:rPr>
      <w:rFonts w:ascii="Times New Roman" w:eastAsiaTheme="minorEastAsia" w:hAnsi="Times New Roman" w:cs="Times New Roman"/>
      <w:b/>
      <w:sz w:val="20"/>
      <w:szCs w:val="20"/>
      <w:lang w:eastAsia="ja-JP"/>
    </w:rPr>
  </w:style>
  <w:style w:type="paragraph" w:customStyle="1" w:styleId="b1">
    <w:name w:val="Üb 1"/>
    <w:basedOn w:val="Listenabsatz"/>
    <w:next w:val="Standard"/>
    <w:qFormat/>
    <w:rsid w:val="000A4915"/>
    <w:pPr>
      <w:keepNext/>
      <w:numPr>
        <w:numId w:val="22"/>
      </w:numPr>
      <w:overflowPunct/>
      <w:autoSpaceDE/>
      <w:spacing w:before="360" w:after="120" w:line="288" w:lineRule="auto"/>
      <w:contextualSpacing w:val="0"/>
      <w:jc w:val="both"/>
      <w:outlineLvl w:val="0"/>
    </w:pPr>
    <w:rPr>
      <w:rFonts w:ascii="Verdana" w:eastAsiaTheme="minorEastAsia" w:hAnsi="Verdana" w:cstheme="minorBidi"/>
      <w:b/>
      <w:lang w:eastAsia="ja-JP"/>
    </w:rPr>
  </w:style>
  <w:style w:type="paragraph" w:customStyle="1" w:styleId="b2">
    <w:name w:val="Üb 2"/>
    <w:basedOn w:val="b1"/>
    <w:next w:val="Standard"/>
    <w:qFormat/>
    <w:rsid w:val="000A4915"/>
    <w:pPr>
      <w:numPr>
        <w:ilvl w:val="1"/>
      </w:numPr>
      <w:spacing w:before="240"/>
      <w:ind w:left="709" w:hanging="709"/>
      <w:outlineLvl w:val="1"/>
    </w:pPr>
    <w:rPr>
      <w:sz w:val="20"/>
    </w:rPr>
  </w:style>
  <w:style w:type="paragraph" w:customStyle="1" w:styleId="b3">
    <w:name w:val="Üb 3"/>
    <w:basedOn w:val="Listenabsatz"/>
    <w:next w:val="Standard"/>
    <w:qFormat/>
    <w:rsid w:val="000A4915"/>
    <w:pPr>
      <w:keepNext/>
      <w:numPr>
        <w:ilvl w:val="2"/>
        <w:numId w:val="22"/>
      </w:numPr>
      <w:tabs>
        <w:tab w:val="num" w:pos="360"/>
      </w:tabs>
      <w:overflowPunct/>
      <w:autoSpaceDE/>
      <w:spacing w:before="240" w:after="120" w:line="288" w:lineRule="auto"/>
      <w:ind w:left="720" w:firstLine="0"/>
      <w:contextualSpacing w:val="0"/>
      <w:jc w:val="both"/>
      <w:outlineLvl w:val="2"/>
    </w:pPr>
    <w:rPr>
      <w:rFonts w:ascii="Verdana" w:eastAsiaTheme="minorEastAsia" w:hAnsi="Verdana" w:cstheme="minorBidi"/>
      <w:b/>
      <w:sz w:val="20"/>
      <w:szCs w:val="20"/>
      <w:lang w:eastAsia="ja-JP"/>
    </w:rPr>
  </w:style>
  <w:style w:type="paragraph" w:customStyle="1" w:styleId="b4">
    <w:name w:val="Üb 4"/>
    <w:basedOn w:val="b3"/>
    <w:next w:val="Standard"/>
    <w:qFormat/>
    <w:rsid w:val="000A4915"/>
    <w:pPr>
      <w:numPr>
        <w:ilvl w:val="3"/>
      </w:numPr>
      <w:tabs>
        <w:tab w:val="num" w:pos="360"/>
      </w:tabs>
      <w:ind w:left="1077" w:hanging="1077"/>
      <w:outlineLvl w:val="3"/>
    </w:pPr>
  </w:style>
  <w:style w:type="paragraph" w:customStyle="1" w:styleId="b5">
    <w:name w:val="Üb 5"/>
    <w:basedOn w:val="b4"/>
    <w:next w:val="Standard"/>
    <w:qFormat/>
    <w:rsid w:val="000A4915"/>
    <w:pPr>
      <w:numPr>
        <w:ilvl w:val="4"/>
      </w:numPr>
      <w:tabs>
        <w:tab w:val="num" w:pos="360"/>
      </w:tabs>
      <w:ind w:left="1304" w:hanging="1304"/>
      <w:outlineLvl w:val="4"/>
    </w:pPr>
  </w:style>
  <w:style w:type="paragraph" w:customStyle="1" w:styleId="b6">
    <w:name w:val="Üb 6"/>
    <w:basedOn w:val="b5"/>
    <w:next w:val="Standard"/>
    <w:qFormat/>
    <w:rsid w:val="000A4915"/>
    <w:pPr>
      <w:numPr>
        <w:ilvl w:val="5"/>
      </w:numPr>
      <w:tabs>
        <w:tab w:val="num" w:pos="360"/>
      </w:tabs>
      <w:ind w:left="1559" w:hanging="1559"/>
      <w:outlineLvl w:val="5"/>
    </w:pPr>
  </w:style>
  <w:style w:type="character" w:customStyle="1" w:styleId="AufzhlungBuchstabeZchn">
    <w:name w:val="Aufzählung Buchstabe Zchn"/>
    <w:basedOn w:val="Absatz-Standardschriftart"/>
    <w:link w:val="AufzhlungBuchstabe"/>
    <w:locked/>
    <w:rsid w:val="000A4915"/>
    <w:rPr>
      <w:rFonts w:eastAsiaTheme="minorEastAsia"/>
      <w:lang w:eastAsia="ja-JP"/>
    </w:rPr>
  </w:style>
  <w:style w:type="paragraph" w:customStyle="1" w:styleId="AufzhlungBuchstabe">
    <w:name w:val="Aufzählung Buchstabe"/>
    <w:basedOn w:val="b2"/>
    <w:link w:val="AufzhlungBuchstabeZchn"/>
    <w:qFormat/>
    <w:rsid w:val="000A4915"/>
    <w:pPr>
      <w:keepNext w:val="0"/>
      <w:numPr>
        <w:ilvl w:val="6"/>
      </w:numPr>
      <w:spacing w:before="0" w:after="0"/>
      <w:outlineLvl w:val="9"/>
    </w:pPr>
    <w:rPr>
      <w:rFonts w:ascii="Times New Roman" w:hAnsi="Times New Roman" w:cs="Times New Roman"/>
      <w:b w:val="0"/>
      <w:szCs w:val="20"/>
    </w:rPr>
  </w:style>
  <w:style w:type="paragraph" w:customStyle="1" w:styleId="AufzhlungBuchstabeFett">
    <w:name w:val="Aufzählung Buchstabe Fett"/>
    <w:basedOn w:val="AufzhlungBuchstabe"/>
    <w:rsid w:val="000A4915"/>
    <w:pPr>
      <w:numPr>
        <w:ilvl w:val="8"/>
      </w:numPr>
      <w:tabs>
        <w:tab w:val="num" w:pos="360"/>
        <w:tab w:val="num" w:pos="6480"/>
      </w:tabs>
      <w:ind w:left="6480" w:hanging="360"/>
    </w:pPr>
    <w:rPr>
      <w:b/>
      <w:bCs/>
      <w:sz w:val="22"/>
    </w:rPr>
  </w:style>
  <w:style w:type="paragraph" w:customStyle="1" w:styleId="AufzhlungBuchstabeKursiv">
    <w:name w:val="Aufzählung Buchstabe Kursiv"/>
    <w:basedOn w:val="AufzhlungBuchstabe"/>
    <w:rsid w:val="000A4915"/>
    <w:pPr>
      <w:numPr>
        <w:ilvl w:val="7"/>
      </w:numPr>
      <w:tabs>
        <w:tab w:val="num" w:pos="360"/>
        <w:tab w:val="num" w:pos="5760"/>
      </w:tabs>
      <w:ind w:left="5760" w:hanging="360"/>
    </w:pPr>
    <w:rPr>
      <w:i/>
      <w:iCs/>
    </w:rPr>
  </w:style>
  <w:style w:type="character" w:customStyle="1" w:styleId="StandardfettnurWort">
    <w:name w:val="Standard fett nur Wort"/>
    <w:basedOn w:val="Absatz-Standardschriftart"/>
    <w:uiPriority w:val="1"/>
    <w:qFormat/>
    <w:rsid w:val="000A4915"/>
    <w:rPr>
      <w:rFonts w:ascii="Verdana" w:hAnsi="Verdana" w:hint="default"/>
      <w:b/>
      <w:bCs w:val="0"/>
      <w:sz w:val="20"/>
    </w:rPr>
  </w:style>
  <w:style w:type="table" w:customStyle="1" w:styleId="TabellefrVergabegrundlage">
    <w:name w:val="Tabelle für Vergabegrundlage"/>
    <w:basedOn w:val="NormaleTabelle"/>
    <w:uiPriority w:val="99"/>
    <w:rsid w:val="000A4915"/>
    <w:rPr>
      <w:rFonts w:ascii="Verdana" w:eastAsiaTheme="minorEastAsia" w:hAnsi="Verdana" w:cstheme="minorBidi"/>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hint="default"/>
        <w:b/>
        <w:sz w:val="20"/>
        <w:szCs w:val="20"/>
      </w:rPr>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771603">
      <w:bodyDiv w:val="1"/>
      <w:marLeft w:val="0"/>
      <w:marRight w:val="0"/>
      <w:marTop w:val="0"/>
      <w:marBottom w:val="0"/>
      <w:divBdr>
        <w:top w:val="none" w:sz="0" w:space="0" w:color="auto"/>
        <w:left w:val="none" w:sz="0" w:space="0" w:color="auto"/>
        <w:bottom w:val="none" w:sz="0" w:space="0" w:color="auto"/>
        <w:right w:val="none" w:sz="0" w:space="0" w:color="auto"/>
      </w:divBdr>
    </w:div>
    <w:div w:id="480541501">
      <w:bodyDiv w:val="1"/>
      <w:marLeft w:val="0"/>
      <w:marRight w:val="0"/>
      <w:marTop w:val="0"/>
      <w:marBottom w:val="0"/>
      <w:divBdr>
        <w:top w:val="none" w:sz="0" w:space="0" w:color="auto"/>
        <w:left w:val="none" w:sz="0" w:space="0" w:color="auto"/>
        <w:bottom w:val="none" w:sz="0" w:space="0" w:color="auto"/>
        <w:right w:val="none" w:sz="0" w:space="0" w:color="auto"/>
      </w:divBdr>
    </w:div>
    <w:div w:id="516314611">
      <w:bodyDiv w:val="1"/>
      <w:marLeft w:val="0"/>
      <w:marRight w:val="0"/>
      <w:marTop w:val="0"/>
      <w:marBottom w:val="0"/>
      <w:divBdr>
        <w:top w:val="none" w:sz="0" w:space="0" w:color="auto"/>
        <w:left w:val="none" w:sz="0" w:space="0" w:color="auto"/>
        <w:bottom w:val="none" w:sz="0" w:space="0" w:color="auto"/>
        <w:right w:val="none" w:sz="0" w:space="0" w:color="auto"/>
      </w:divBdr>
    </w:div>
    <w:div w:id="540555494">
      <w:bodyDiv w:val="1"/>
      <w:marLeft w:val="0"/>
      <w:marRight w:val="0"/>
      <w:marTop w:val="0"/>
      <w:marBottom w:val="0"/>
      <w:divBdr>
        <w:top w:val="none" w:sz="0" w:space="0" w:color="auto"/>
        <w:left w:val="none" w:sz="0" w:space="0" w:color="auto"/>
        <w:bottom w:val="none" w:sz="0" w:space="0" w:color="auto"/>
        <w:right w:val="none" w:sz="0" w:space="0" w:color="auto"/>
      </w:divBdr>
    </w:div>
    <w:div w:id="754790302">
      <w:bodyDiv w:val="1"/>
      <w:marLeft w:val="0"/>
      <w:marRight w:val="0"/>
      <w:marTop w:val="0"/>
      <w:marBottom w:val="0"/>
      <w:divBdr>
        <w:top w:val="none" w:sz="0" w:space="0" w:color="auto"/>
        <w:left w:val="none" w:sz="0" w:space="0" w:color="auto"/>
        <w:bottom w:val="none" w:sz="0" w:space="0" w:color="auto"/>
        <w:right w:val="none" w:sz="0" w:space="0" w:color="auto"/>
      </w:divBdr>
    </w:div>
    <w:div w:id="1426149799">
      <w:bodyDiv w:val="1"/>
      <w:marLeft w:val="0"/>
      <w:marRight w:val="0"/>
      <w:marTop w:val="0"/>
      <w:marBottom w:val="0"/>
      <w:divBdr>
        <w:top w:val="none" w:sz="0" w:space="0" w:color="auto"/>
        <w:left w:val="none" w:sz="0" w:space="0" w:color="auto"/>
        <w:bottom w:val="none" w:sz="0" w:space="0" w:color="auto"/>
        <w:right w:val="none" w:sz="0" w:space="0" w:color="auto"/>
      </w:divBdr>
    </w:div>
    <w:div w:id="1706635634">
      <w:bodyDiv w:val="1"/>
      <w:marLeft w:val="0"/>
      <w:marRight w:val="0"/>
      <w:marTop w:val="0"/>
      <w:marBottom w:val="0"/>
      <w:divBdr>
        <w:top w:val="none" w:sz="0" w:space="0" w:color="auto"/>
        <w:left w:val="none" w:sz="0" w:space="0" w:color="auto"/>
        <w:bottom w:val="none" w:sz="0" w:space="0" w:color="auto"/>
        <w:right w:val="none" w:sz="0" w:space="0" w:color="auto"/>
      </w:divBdr>
    </w:div>
    <w:div w:id="186778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baua.de/DE/Angebote/Rechtstexte-und-Technische-Regeln/Regelwerk/TRGS/TRGS-905.html" TargetMode="External"/><Relationship Id="rId2" Type="http://schemas.openxmlformats.org/officeDocument/2006/relationships/hyperlink" Target="http://echa.europa.eu/de/information-on-chemicals/cl-inventory;jsessionid=DA27CFECE7646B23BCB6C99891C18F7F.live2" TargetMode="External"/><Relationship Id="rId1" Type="http://schemas.openxmlformats.org/officeDocument/2006/relationships/hyperlink" Target="http://echa.europa.eu/web/guest/candidate-list-tabl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C0DE2-E084-4D77-B0A2-1D4DB7112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3</Pages>
  <Words>572</Words>
  <Characters>3606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5</cp:revision>
  <cp:lastPrinted>2013-02-12T10:30:00Z</cp:lastPrinted>
  <dcterms:created xsi:type="dcterms:W3CDTF">2021-01-22T10:36:00Z</dcterms:created>
  <dcterms:modified xsi:type="dcterms:W3CDTF">2021-02-08T11:24:00Z</dcterms:modified>
</cp:coreProperties>
</file>